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65E8" w14:textId="4E0DE35D" w:rsidR="00B77CD4" w:rsidRPr="00D211FC" w:rsidRDefault="00D211FC" w:rsidP="00D211FC">
      <w:pPr>
        <w:ind w:firstLine="5812"/>
        <w:rPr>
          <w:sz w:val="22"/>
          <w:szCs w:val="22"/>
          <w:lang w:eastAsia="lt-LT"/>
        </w:rPr>
      </w:pPr>
      <w:r w:rsidRPr="00D211FC">
        <w:rPr>
          <w:sz w:val="22"/>
          <w:szCs w:val="22"/>
          <w:lang w:eastAsia="lt-LT"/>
        </w:rPr>
        <w:t>PATVIRTINTA</w:t>
      </w:r>
    </w:p>
    <w:p w14:paraId="4CBD47ED" w14:textId="75155F4D" w:rsidR="00B77CD4" w:rsidRPr="00D211FC" w:rsidRDefault="00D211FC" w:rsidP="00D211FC">
      <w:pPr>
        <w:ind w:firstLine="5812"/>
        <w:rPr>
          <w:sz w:val="22"/>
          <w:szCs w:val="22"/>
          <w:lang w:eastAsia="lt-LT"/>
        </w:rPr>
      </w:pPr>
      <w:r w:rsidRPr="00D211FC">
        <w:rPr>
          <w:sz w:val="22"/>
          <w:szCs w:val="22"/>
          <w:lang w:eastAsia="lt-LT"/>
        </w:rPr>
        <w:t>Lietuvos kultūros instituto direktoriaus</w:t>
      </w:r>
    </w:p>
    <w:p w14:paraId="147D365A" w14:textId="143FCDC1" w:rsidR="00B77CD4" w:rsidRPr="00D211FC" w:rsidRDefault="00D211FC" w:rsidP="00D211FC">
      <w:pPr>
        <w:ind w:firstLine="5812"/>
        <w:rPr>
          <w:sz w:val="22"/>
          <w:szCs w:val="22"/>
          <w:lang w:eastAsia="lt-LT"/>
        </w:rPr>
      </w:pPr>
      <w:r w:rsidRPr="00D211FC">
        <w:rPr>
          <w:sz w:val="22"/>
          <w:szCs w:val="22"/>
          <w:lang w:eastAsia="lt-LT"/>
        </w:rPr>
        <w:t>2025 m. kovo 5 d. įsakymu Nr. V-11</w:t>
      </w:r>
    </w:p>
    <w:p w14:paraId="229AD9B6" w14:textId="77777777" w:rsidR="00B77CD4" w:rsidRDefault="00B77CD4">
      <w:pPr>
        <w:tabs>
          <w:tab w:val="center" w:pos="4819"/>
          <w:tab w:val="right" w:pos="9638"/>
        </w:tabs>
        <w:jc w:val="center"/>
        <w:rPr>
          <w:szCs w:val="24"/>
          <w:lang w:eastAsia="lt-LT"/>
        </w:rPr>
      </w:pPr>
    </w:p>
    <w:p w14:paraId="299EEBBE" w14:textId="687AE0BB" w:rsidR="00B77CD4" w:rsidRDefault="00D211FC">
      <w:pPr>
        <w:tabs>
          <w:tab w:val="center" w:pos="4819"/>
          <w:tab w:val="right" w:pos="9638"/>
        </w:tabs>
        <w:jc w:val="center"/>
        <w:rPr>
          <w:b/>
          <w:iCs/>
          <w:szCs w:val="24"/>
          <w:lang w:eastAsia="lt-LT"/>
        </w:rPr>
      </w:pPr>
      <w:r>
        <w:rPr>
          <w:b/>
          <w:szCs w:val="24"/>
          <w:lang w:eastAsia="lt-LT"/>
        </w:rPr>
        <w:t>(Susitarimo dėl tiesioginio lėšų pervedimo vertėjui</w:t>
      </w:r>
      <w:r>
        <w:rPr>
          <w:b/>
          <w:iCs/>
          <w:szCs w:val="24"/>
          <w:lang w:eastAsia="lt-LT"/>
        </w:rPr>
        <w:t xml:space="preserve"> forma</w:t>
      </w:r>
      <w:r>
        <w:rPr>
          <w:b/>
          <w:szCs w:val="24"/>
          <w:lang w:eastAsia="lt-LT"/>
        </w:rPr>
        <w:t>)</w:t>
      </w:r>
    </w:p>
    <w:p w14:paraId="50C69C95" w14:textId="77777777" w:rsidR="00B77CD4" w:rsidRDefault="00B77CD4">
      <w:pPr>
        <w:tabs>
          <w:tab w:val="center" w:pos="4819"/>
          <w:tab w:val="right" w:pos="9638"/>
        </w:tabs>
        <w:jc w:val="center"/>
        <w:rPr>
          <w:sz w:val="22"/>
          <w:szCs w:val="22"/>
          <w:lang w:eastAsia="lt-LT"/>
        </w:rPr>
      </w:pP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36"/>
      </w:tblGrid>
      <w:tr w:rsidR="00B77CD4" w14:paraId="52522DEC" w14:textId="77777777">
        <w:tc>
          <w:tcPr>
            <w:tcW w:w="1701" w:type="dxa"/>
            <w:shd w:val="clear" w:color="auto" w:fill="F2F2F2"/>
          </w:tcPr>
          <w:p w14:paraId="41D61C7E" w14:textId="56F77377" w:rsidR="00B77CD4" w:rsidRDefault="00D211FC">
            <w:pPr>
              <w:suppressAutoHyphens/>
              <w:textAlignment w:val="baseline"/>
              <w:rPr>
                <w:bCs/>
                <w:kern w:val="3"/>
                <w:sz w:val="20"/>
                <w:lang w:eastAsia="zh-CN"/>
              </w:rPr>
            </w:pPr>
            <w:r>
              <w:rPr>
                <w:bCs/>
                <w:kern w:val="3"/>
                <w:sz w:val="20"/>
                <w:lang w:eastAsia="zh-CN"/>
              </w:rPr>
              <w:t>Susitarimo data</w:t>
            </w:r>
          </w:p>
        </w:tc>
        <w:tc>
          <w:tcPr>
            <w:tcW w:w="1836" w:type="dxa"/>
            <w:shd w:val="clear" w:color="auto" w:fill="auto"/>
          </w:tcPr>
          <w:p w14:paraId="4E0FE1B1" w14:textId="77777777" w:rsidR="00B77CD4" w:rsidRDefault="00B77CD4">
            <w:pPr>
              <w:suppressAutoHyphens/>
              <w:textAlignment w:val="baseline"/>
              <w:rPr>
                <w:bCs/>
                <w:kern w:val="3"/>
                <w:sz w:val="20"/>
                <w:lang w:eastAsia="zh-CN"/>
              </w:rPr>
            </w:pPr>
          </w:p>
        </w:tc>
      </w:tr>
      <w:tr w:rsidR="00B77CD4" w14:paraId="2FFE1AB9" w14:textId="77777777">
        <w:tc>
          <w:tcPr>
            <w:tcW w:w="1701" w:type="dxa"/>
            <w:shd w:val="clear" w:color="auto" w:fill="F2F2F2"/>
          </w:tcPr>
          <w:p w14:paraId="35B8A2C8" w14:textId="1E393F90" w:rsidR="00B77CD4" w:rsidRDefault="00D211FC">
            <w:pPr>
              <w:suppressAutoHyphens/>
              <w:textAlignment w:val="baseline"/>
              <w:rPr>
                <w:bCs/>
                <w:kern w:val="3"/>
                <w:sz w:val="20"/>
                <w:lang w:eastAsia="zh-CN"/>
              </w:rPr>
            </w:pPr>
            <w:r>
              <w:rPr>
                <w:bCs/>
                <w:kern w:val="3"/>
                <w:sz w:val="20"/>
                <w:lang w:eastAsia="zh-CN"/>
              </w:rPr>
              <w:t>Susitarimo Nr.</w:t>
            </w:r>
          </w:p>
        </w:tc>
        <w:tc>
          <w:tcPr>
            <w:tcW w:w="1836" w:type="dxa"/>
            <w:shd w:val="clear" w:color="auto" w:fill="auto"/>
          </w:tcPr>
          <w:p w14:paraId="0749A9A7" w14:textId="77777777" w:rsidR="00B77CD4" w:rsidRDefault="00B77CD4">
            <w:pPr>
              <w:suppressAutoHyphens/>
              <w:textAlignment w:val="baseline"/>
              <w:rPr>
                <w:bCs/>
                <w:kern w:val="3"/>
                <w:sz w:val="20"/>
                <w:lang w:eastAsia="zh-CN"/>
              </w:rPr>
            </w:pPr>
          </w:p>
        </w:tc>
      </w:tr>
    </w:tbl>
    <w:p w14:paraId="622153FD" w14:textId="151E9CC9" w:rsidR="00B77CD4" w:rsidRDefault="00B77CD4">
      <w:pPr>
        <w:tabs>
          <w:tab w:val="center" w:pos="4819"/>
          <w:tab w:val="right" w:pos="9638"/>
        </w:tabs>
        <w:rPr>
          <w:sz w:val="20"/>
          <w:lang w:eastAsia="lt-LT"/>
        </w:rPr>
      </w:pPr>
    </w:p>
    <w:p w14:paraId="6ED6B6F7" w14:textId="78390B19" w:rsidR="00B77CD4" w:rsidRDefault="00B77CD4">
      <w:pPr>
        <w:tabs>
          <w:tab w:val="center" w:pos="4819"/>
          <w:tab w:val="right" w:pos="9638"/>
        </w:tabs>
        <w:jc w:val="center"/>
        <w:rPr>
          <w:b/>
          <w:sz w:val="20"/>
          <w:lang w:eastAsia="lt-LT"/>
        </w:rPr>
      </w:pPr>
    </w:p>
    <w:p w14:paraId="2028BC5F" w14:textId="0E7E239F" w:rsidR="00B77CD4" w:rsidRDefault="00D211FC">
      <w:pPr>
        <w:tabs>
          <w:tab w:val="center" w:pos="4819"/>
          <w:tab w:val="right" w:pos="9638"/>
        </w:tabs>
        <w:jc w:val="center"/>
        <w:rPr>
          <w:b/>
          <w:sz w:val="20"/>
          <w:lang w:eastAsia="lt-LT"/>
        </w:rPr>
      </w:pPr>
      <w:r>
        <w:rPr>
          <w:b/>
          <w:sz w:val="20"/>
          <w:lang w:eastAsia="lt-LT"/>
        </w:rPr>
        <w:t>SUSITARIMAS DĖL TIESIOGINIO LĖŠŲ PERVEDIMO VERTĖJUI</w:t>
      </w:r>
    </w:p>
    <w:p w14:paraId="719A9085" w14:textId="77777777" w:rsidR="00B77CD4" w:rsidRDefault="00B77CD4">
      <w:pPr>
        <w:rPr>
          <w:sz w:val="20"/>
          <w:lang w:eastAsia="lt-LT"/>
        </w:rPr>
      </w:pPr>
    </w:p>
    <w:p w14:paraId="277D9852" w14:textId="7BDAA8B7" w:rsidR="00B77CD4" w:rsidRDefault="00D211FC">
      <w:pPr>
        <w:ind w:left="1080" w:hanging="720"/>
        <w:rPr>
          <w:b/>
          <w:bCs/>
          <w:sz w:val="20"/>
          <w:lang w:eastAsia="lt-LT"/>
        </w:rPr>
      </w:pPr>
      <w:r>
        <w:rPr>
          <w:b/>
          <w:bCs/>
          <w:sz w:val="20"/>
          <w:lang w:eastAsia="lt-LT"/>
        </w:rPr>
        <w:t>I.</w:t>
      </w:r>
      <w:r>
        <w:rPr>
          <w:b/>
          <w:bCs/>
          <w:sz w:val="20"/>
          <w:lang w:eastAsia="lt-LT"/>
        </w:rPr>
        <w:tab/>
      </w:r>
      <w:r>
        <w:rPr>
          <w:b/>
          <w:bCs/>
          <w:sz w:val="20"/>
        </w:rPr>
        <w:t>SUSITARIMO ŠALIŲ REKVIZITAI</w:t>
      </w:r>
    </w:p>
    <w:p w14:paraId="18494591" w14:textId="77777777" w:rsidR="00B77CD4" w:rsidRDefault="00B77CD4">
      <w:pPr>
        <w:jc w:val="cente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186"/>
        <w:gridCol w:w="2325"/>
        <w:gridCol w:w="2175"/>
      </w:tblGrid>
      <w:tr w:rsidR="00B77CD4" w14:paraId="41F2D44D" w14:textId="2AD1CAC4">
        <w:tc>
          <w:tcPr>
            <w:tcW w:w="2658" w:type="dxa"/>
            <w:shd w:val="clear" w:color="auto" w:fill="F2F2F2"/>
            <w:vAlign w:val="center"/>
          </w:tcPr>
          <w:p w14:paraId="16DA860F" w14:textId="6D90E09C" w:rsidR="00B77CD4" w:rsidRDefault="00D211FC">
            <w:pPr>
              <w:suppressAutoHyphens/>
              <w:textAlignment w:val="baseline"/>
              <w:rPr>
                <w:bCs/>
                <w:kern w:val="3"/>
                <w:sz w:val="20"/>
                <w:lang w:eastAsia="zh-CN"/>
              </w:rPr>
            </w:pPr>
            <w:r>
              <w:rPr>
                <w:bCs/>
                <w:kern w:val="3"/>
                <w:sz w:val="20"/>
                <w:lang w:eastAsia="zh-CN"/>
              </w:rPr>
              <w:t>Susitarimo šalis</w:t>
            </w:r>
          </w:p>
        </w:tc>
        <w:tc>
          <w:tcPr>
            <w:tcW w:w="2186" w:type="dxa"/>
            <w:shd w:val="clear" w:color="auto" w:fill="F2F2F2" w:themeFill="background1" w:themeFillShade="F2"/>
            <w:vAlign w:val="center"/>
          </w:tcPr>
          <w:p w14:paraId="5855A62B" w14:textId="77777777" w:rsidR="00B77CD4" w:rsidRDefault="00D211FC">
            <w:pPr>
              <w:suppressAutoHyphens/>
              <w:jc w:val="center"/>
              <w:textAlignment w:val="baseline"/>
              <w:rPr>
                <w:b/>
                <w:kern w:val="3"/>
                <w:sz w:val="20"/>
                <w:lang w:eastAsia="zh-CN"/>
              </w:rPr>
            </w:pPr>
            <w:r>
              <w:rPr>
                <w:b/>
                <w:kern w:val="3"/>
                <w:sz w:val="20"/>
                <w:lang w:eastAsia="zh-CN"/>
              </w:rPr>
              <w:t>Institutas</w:t>
            </w:r>
          </w:p>
        </w:tc>
        <w:tc>
          <w:tcPr>
            <w:tcW w:w="2325" w:type="dxa"/>
            <w:shd w:val="clear" w:color="auto" w:fill="F2F2F2" w:themeFill="background1" w:themeFillShade="F2"/>
            <w:vAlign w:val="center"/>
          </w:tcPr>
          <w:p w14:paraId="68D4ACB7" w14:textId="77777777" w:rsidR="00B77CD4" w:rsidRDefault="00D211FC">
            <w:pPr>
              <w:suppressAutoHyphens/>
              <w:jc w:val="center"/>
              <w:textAlignment w:val="baseline"/>
              <w:rPr>
                <w:b/>
                <w:kern w:val="3"/>
                <w:sz w:val="20"/>
                <w:lang w:eastAsia="zh-CN"/>
              </w:rPr>
            </w:pPr>
            <w:r>
              <w:rPr>
                <w:b/>
                <w:kern w:val="3"/>
                <w:sz w:val="20"/>
                <w:lang w:eastAsia="zh-CN"/>
              </w:rPr>
              <w:t>Projekto vykdytojas</w:t>
            </w:r>
          </w:p>
        </w:tc>
        <w:tc>
          <w:tcPr>
            <w:tcW w:w="2175" w:type="dxa"/>
            <w:shd w:val="clear" w:color="auto" w:fill="F2F2F2" w:themeFill="background1" w:themeFillShade="F2"/>
          </w:tcPr>
          <w:p w14:paraId="4D5C8876" w14:textId="54B3183E" w:rsidR="00B77CD4" w:rsidRDefault="00D211FC">
            <w:pPr>
              <w:suppressAutoHyphens/>
              <w:jc w:val="center"/>
              <w:textAlignment w:val="baseline"/>
              <w:rPr>
                <w:b/>
                <w:kern w:val="3"/>
                <w:sz w:val="20"/>
                <w:lang w:eastAsia="zh-CN"/>
              </w:rPr>
            </w:pPr>
            <w:r>
              <w:rPr>
                <w:b/>
                <w:kern w:val="3"/>
                <w:sz w:val="20"/>
                <w:lang w:eastAsia="zh-CN"/>
              </w:rPr>
              <w:t>Vertėjas</w:t>
            </w:r>
          </w:p>
        </w:tc>
      </w:tr>
      <w:tr w:rsidR="00B77CD4" w14:paraId="7DBDDA33" w14:textId="4E40289A">
        <w:tc>
          <w:tcPr>
            <w:tcW w:w="2658" w:type="dxa"/>
            <w:shd w:val="clear" w:color="auto" w:fill="F2F2F2"/>
            <w:vAlign w:val="center"/>
          </w:tcPr>
          <w:p w14:paraId="1BC7766D" w14:textId="2BF999C4" w:rsidR="00B77CD4" w:rsidRDefault="00D211FC">
            <w:pPr>
              <w:suppressAutoHyphens/>
              <w:textAlignment w:val="baseline"/>
              <w:rPr>
                <w:kern w:val="3"/>
                <w:sz w:val="20"/>
                <w:lang w:eastAsia="zh-CN"/>
              </w:rPr>
            </w:pPr>
            <w:r>
              <w:rPr>
                <w:bCs/>
                <w:kern w:val="3"/>
                <w:sz w:val="20"/>
                <w:lang w:eastAsia="zh-CN"/>
              </w:rPr>
              <w:t>Pavadinimas arba vardas ir pavardė</w:t>
            </w:r>
          </w:p>
        </w:tc>
        <w:tc>
          <w:tcPr>
            <w:tcW w:w="2186" w:type="dxa"/>
            <w:shd w:val="clear" w:color="auto" w:fill="auto"/>
            <w:vAlign w:val="center"/>
          </w:tcPr>
          <w:p w14:paraId="4E16EF04" w14:textId="77777777" w:rsidR="00B77CD4" w:rsidRDefault="00B77CD4">
            <w:pPr>
              <w:suppressAutoHyphens/>
              <w:textAlignment w:val="baseline"/>
              <w:rPr>
                <w:b/>
                <w:kern w:val="3"/>
                <w:sz w:val="20"/>
                <w:lang w:eastAsia="zh-CN"/>
              </w:rPr>
            </w:pPr>
          </w:p>
        </w:tc>
        <w:tc>
          <w:tcPr>
            <w:tcW w:w="2325" w:type="dxa"/>
            <w:shd w:val="clear" w:color="auto" w:fill="auto"/>
          </w:tcPr>
          <w:p w14:paraId="60DC47DD" w14:textId="77777777" w:rsidR="00B77CD4" w:rsidRDefault="00B77CD4">
            <w:pPr>
              <w:suppressAutoHyphens/>
              <w:textAlignment w:val="baseline"/>
              <w:rPr>
                <w:b/>
                <w:kern w:val="3"/>
                <w:sz w:val="20"/>
                <w:lang w:eastAsia="zh-CN"/>
              </w:rPr>
            </w:pPr>
          </w:p>
        </w:tc>
        <w:tc>
          <w:tcPr>
            <w:tcW w:w="2175" w:type="dxa"/>
          </w:tcPr>
          <w:p w14:paraId="0E628C0B" w14:textId="77777777" w:rsidR="00B77CD4" w:rsidRDefault="00B77CD4">
            <w:pPr>
              <w:suppressAutoHyphens/>
              <w:textAlignment w:val="baseline"/>
              <w:rPr>
                <w:b/>
                <w:kern w:val="3"/>
                <w:sz w:val="20"/>
                <w:lang w:eastAsia="zh-CN"/>
              </w:rPr>
            </w:pPr>
          </w:p>
        </w:tc>
      </w:tr>
      <w:tr w:rsidR="00B77CD4" w14:paraId="6BD54D20" w14:textId="1CC39942">
        <w:tc>
          <w:tcPr>
            <w:tcW w:w="2658" w:type="dxa"/>
            <w:shd w:val="clear" w:color="auto" w:fill="F2F2F2"/>
            <w:vAlign w:val="center"/>
          </w:tcPr>
          <w:p w14:paraId="7768CC76" w14:textId="6E6C4C09" w:rsidR="00B77CD4" w:rsidRDefault="00D211FC">
            <w:pPr>
              <w:suppressAutoHyphens/>
              <w:textAlignment w:val="baseline"/>
              <w:rPr>
                <w:kern w:val="3"/>
                <w:sz w:val="20"/>
                <w:lang w:eastAsia="zh-CN"/>
              </w:rPr>
            </w:pPr>
            <w:r>
              <w:rPr>
                <w:bCs/>
                <w:kern w:val="3"/>
                <w:sz w:val="20"/>
                <w:lang w:eastAsia="zh-CN"/>
              </w:rPr>
              <w:t>Juridinio asmens kodas arba fizinio asmens gimimo data</w:t>
            </w:r>
          </w:p>
        </w:tc>
        <w:tc>
          <w:tcPr>
            <w:tcW w:w="2186" w:type="dxa"/>
            <w:shd w:val="clear" w:color="auto" w:fill="auto"/>
            <w:vAlign w:val="center"/>
          </w:tcPr>
          <w:p w14:paraId="0A78C77A" w14:textId="77777777" w:rsidR="00B77CD4" w:rsidRDefault="00B77CD4">
            <w:pPr>
              <w:suppressAutoHyphens/>
              <w:textAlignment w:val="baseline"/>
              <w:rPr>
                <w:bCs/>
                <w:kern w:val="3"/>
                <w:sz w:val="20"/>
                <w:lang w:eastAsia="zh-CN"/>
              </w:rPr>
            </w:pPr>
          </w:p>
        </w:tc>
        <w:tc>
          <w:tcPr>
            <w:tcW w:w="2325" w:type="dxa"/>
            <w:shd w:val="clear" w:color="auto" w:fill="auto"/>
          </w:tcPr>
          <w:p w14:paraId="5689497E" w14:textId="77777777" w:rsidR="00B77CD4" w:rsidRDefault="00B77CD4">
            <w:pPr>
              <w:suppressAutoHyphens/>
              <w:textAlignment w:val="baseline"/>
              <w:rPr>
                <w:b/>
                <w:kern w:val="3"/>
                <w:sz w:val="20"/>
                <w:lang w:eastAsia="zh-CN"/>
              </w:rPr>
            </w:pPr>
          </w:p>
        </w:tc>
        <w:tc>
          <w:tcPr>
            <w:tcW w:w="2175" w:type="dxa"/>
          </w:tcPr>
          <w:p w14:paraId="16DB4183" w14:textId="77777777" w:rsidR="00B77CD4" w:rsidRDefault="00B77CD4">
            <w:pPr>
              <w:suppressAutoHyphens/>
              <w:textAlignment w:val="baseline"/>
              <w:rPr>
                <w:b/>
                <w:kern w:val="3"/>
                <w:sz w:val="20"/>
                <w:lang w:eastAsia="zh-CN"/>
              </w:rPr>
            </w:pPr>
          </w:p>
        </w:tc>
      </w:tr>
      <w:tr w:rsidR="00B77CD4" w14:paraId="4F56CA89" w14:textId="1C191D0E">
        <w:tc>
          <w:tcPr>
            <w:tcW w:w="2658" w:type="dxa"/>
            <w:shd w:val="clear" w:color="auto" w:fill="F2F2F2"/>
            <w:vAlign w:val="center"/>
          </w:tcPr>
          <w:p w14:paraId="413A71D2" w14:textId="77777777" w:rsidR="00B77CD4" w:rsidRDefault="00D211FC">
            <w:pPr>
              <w:suppressAutoHyphens/>
              <w:textAlignment w:val="baseline"/>
              <w:rPr>
                <w:kern w:val="3"/>
                <w:sz w:val="20"/>
                <w:lang w:eastAsia="zh-CN"/>
              </w:rPr>
            </w:pPr>
            <w:r>
              <w:rPr>
                <w:bCs/>
                <w:kern w:val="3"/>
                <w:sz w:val="20"/>
                <w:lang w:eastAsia="zh-CN"/>
              </w:rPr>
              <w:t xml:space="preserve">Adresas </w:t>
            </w:r>
          </w:p>
        </w:tc>
        <w:tc>
          <w:tcPr>
            <w:tcW w:w="2186" w:type="dxa"/>
            <w:shd w:val="clear" w:color="auto" w:fill="auto"/>
            <w:vAlign w:val="center"/>
          </w:tcPr>
          <w:p w14:paraId="7A2D68F1" w14:textId="77777777" w:rsidR="00B77CD4" w:rsidRDefault="00B77CD4">
            <w:pPr>
              <w:suppressAutoHyphens/>
              <w:textAlignment w:val="baseline"/>
              <w:rPr>
                <w:b/>
                <w:kern w:val="3"/>
                <w:sz w:val="20"/>
                <w:lang w:eastAsia="zh-CN"/>
              </w:rPr>
            </w:pPr>
          </w:p>
        </w:tc>
        <w:tc>
          <w:tcPr>
            <w:tcW w:w="2325" w:type="dxa"/>
            <w:shd w:val="clear" w:color="auto" w:fill="auto"/>
          </w:tcPr>
          <w:p w14:paraId="3B1FD5B8" w14:textId="77777777" w:rsidR="00B77CD4" w:rsidRDefault="00B77CD4">
            <w:pPr>
              <w:suppressAutoHyphens/>
              <w:textAlignment w:val="baseline"/>
              <w:rPr>
                <w:b/>
                <w:kern w:val="3"/>
                <w:sz w:val="20"/>
                <w:lang w:eastAsia="zh-CN"/>
              </w:rPr>
            </w:pPr>
          </w:p>
        </w:tc>
        <w:tc>
          <w:tcPr>
            <w:tcW w:w="2175" w:type="dxa"/>
          </w:tcPr>
          <w:p w14:paraId="0A7C5C62" w14:textId="77777777" w:rsidR="00B77CD4" w:rsidRDefault="00B77CD4">
            <w:pPr>
              <w:suppressAutoHyphens/>
              <w:textAlignment w:val="baseline"/>
              <w:rPr>
                <w:b/>
                <w:kern w:val="3"/>
                <w:sz w:val="20"/>
                <w:lang w:eastAsia="zh-CN"/>
              </w:rPr>
            </w:pPr>
          </w:p>
        </w:tc>
      </w:tr>
      <w:tr w:rsidR="00B77CD4" w14:paraId="6AF5A9AF" w14:textId="1F43E9DE">
        <w:tc>
          <w:tcPr>
            <w:tcW w:w="2658" w:type="dxa"/>
            <w:shd w:val="clear" w:color="auto" w:fill="F2F2F2"/>
            <w:vAlign w:val="center"/>
          </w:tcPr>
          <w:p w14:paraId="4FA4C9AD" w14:textId="77777777" w:rsidR="00B77CD4" w:rsidRDefault="00D211FC">
            <w:pPr>
              <w:suppressAutoHyphens/>
              <w:textAlignment w:val="baseline"/>
              <w:rPr>
                <w:bCs/>
                <w:kern w:val="3"/>
                <w:sz w:val="20"/>
                <w:lang w:eastAsia="zh-CN"/>
              </w:rPr>
            </w:pPr>
            <w:r>
              <w:rPr>
                <w:bCs/>
                <w:kern w:val="3"/>
                <w:sz w:val="20"/>
                <w:lang w:eastAsia="zh-CN"/>
              </w:rPr>
              <w:t xml:space="preserve">Telefono Nr., </w:t>
            </w:r>
          </w:p>
          <w:p w14:paraId="7FD9DEDD" w14:textId="77777777" w:rsidR="00B77CD4" w:rsidRDefault="00D211FC">
            <w:pPr>
              <w:suppressAutoHyphens/>
              <w:textAlignment w:val="baseline"/>
              <w:rPr>
                <w:kern w:val="3"/>
                <w:sz w:val="20"/>
                <w:lang w:eastAsia="zh-CN"/>
              </w:rPr>
            </w:pPr>
            <w:r>
              <w:rPr>
                <w:bCs/>
                <w:kern w:val="3"/>
                <w:sz w:val="20"/>
                <w:lang w:eastAsia="zh-CN"/>
              </w:rPr>
              <w:t>el. pašto adresas</w:t>
            </w:r>
          </w:p>
        </w:tc>
        <w:tc>
          <w:tcPr>
            <w:tcW w:w="2186" w:type="dxa"/>
            <w:shd w:val="clear" w:color="auto" w:fill="auto"/>
            <w:vAlign w:val="center"/>
          </w:tcPr>
          <w:p w14:paraId="6447CF80" w14:textId="77777777" w:rsidR="00B77CD4" w:rsidRDefault="00B77CD4">
            <w:pPr>
              <w:suppressAutoHyphens/>
              <w:textAlignment w:val="baseline"/>
              <w:rPr>
                <w:b/>
                <w:kern w:val="3"/>
                <w:sz w:val="20"/>
                <w:lang w:eastAsia="zh-CN"/>
              </w:rPr>
            </w:pPr>
          </w:p>
        </w:tc>
        <w:tc>
          <w:tcPr>
            <w:tcW w:w="2325" w:type="dxa"/>
            <w:shd w:val="clear" w:color="auto" w:fill="auto"/>
          </w:tcPr>
          <w:p w14:paraId="31F04E39" w14:textId="77777777" w:rsidR="00B77CD4" w:rsidRDefault="00B77CD4">
            <w:pPr>
              <w:suppressAutoHyphens/>
              <w:textAlignment w:val="baseline"/>
              <w:rPr>
                <w:b/>
                <w:kern w:val="3"/>
                <w:sz w:val="20"/>
                <w:lang w:eastAsia="zh-CN"/>
              </w:rPr>
            </w:pPr>
          </w:p>
        </w:tc>
        <w:tc>
          <w:tcPr>
            <w:tcW w:w="2175" w:type="dxa"/>
          </w:tcPr>
          <w:p w14:paraId="0B6FA7D8" w14:textId="77777777" w:rsidR="00B77CD4" w:rsidRDefault="00B77CD4">
            <w:pPr>
              <w:suppressAutoHyphens/>
              <w:textAlignment w:val="baseline"/>
              <w:rPr>
                <w:b/>
                <w:kern w:val="3"/>
                <w:sz w:val="20"/>
                <w:lang w:eastAsia="zh-CN"/>
              </w:rPr>
            </w:pPr>
          </w:p>
        </w:tc>
      </w:tr>
      <w:tr w:rsidR="00B77CD4" w14:paraId="236BEEBC" w14:textId="1B1D1A39">
        <w:tc>
          <w:tcPr>
            <w:tcW w:w="2658" w:type="dxa"/>
            <w:shd w:val="clear" w:color="auto" w:fill="F2F2F2"/>
            <w:vAlign w:val="center"/>
          </w:tcPr>
          <w:p w14:paraId="6D7B9BA1" w14:textId="3DDFED9D" w:rsidR="00B77CD4" w:rsidRDefault="00D211FC">
            <w:pPr>
              <w:suppressAutoHyphens/>
              <w:textAlignment w:val="baseline"/>
              <w:rPr>
                <w:kern w:val="3"/>
                <w:sz w:val="20"/>
                <w:lang w:eastAsia="zh-CN"/>
              </w:rPr>
            </w:pPr>
            <w:r>
              <w:rPr>
                <w:kern w:val="3"/>
                <w:sz w:val="20"/>
                <w:lang w:eastAsia="zh-CN"/>
              </w:rPr>
              <w:t xml:space="preserve">Susitarimą </w:t>
            </w:r>
            <w:r>
              <w:rPr>
                <w:kern w:val="3"/>
                <w:sz w:val="20"/>
                <w:lang w:eastAsia="zh-CN"/>
              </w:rPr>
              <w:t>pasirašantis atstovas (pareigos, vardas, pavardė)</w:t>
            </w:r>
          </w:p>
        </w:tc>
        <w:tc>
          <w:tcPr>
            <w:tcW w:w="2186" w:type="dxa"/>
            <w:shd w:val="clear" w:color="auto" w:fill="auto"/>
            <w:vAlign w:val="center"/>
          </w:tcPr>
          <w:p w14:paraId="3A0E4F79" w14:textId="77777777" w:rsidR="00B77CD4" w:rsidRDefault="00B77CD4">
            <w:pPr>
              <w:suppressAutoHyphens/>
              <w:textAlignment w:val="baseline"/>
              <w:rPr>
                <w:b/>
                <w:kern w:val="3"/>
                <w:sz w:val="20"/>
                <w:lang w:eastAsia="zh-CN"/>
              </w:rPr>
            </w:pPr>
          </w:p>
        </w:tc>
        <w:tc>
          <w:tcPr>
            <w:tcW w:w="2325" w:type="dxa"/>
            <w:shd w:val="clear" w:color="auto" w:fill="auto"/>
          </w:tcPr>
          <w:p w14:paraId="520BA2A8" w14:textId="77777777" w:rsidR="00B77CD4" w:rsidRDefault="00B77CD4">
            <w:pPr>
              <w:suppressAutoHyphens/>
              <w:textAlignment w:val="baseline"/>
              <w:rPr>
                <w:b/>
                <w:kern w:val="3"/>
                <w:sz w:val="20"/>
                <w:lang w:eastAsia="zh-CN"/>
              </w:rPr>
            </w:pPr>
          </w:p>
        </w:tc>
        <w:tc>
          <w:tcPr>
            <w:tcW w:w="2175" w:type="dxa"/>
          </w:tcPr>
          <w:p w14:paraId="4683C397" w14:textId="77777777" w:rsidR="00B77CD4" w:rsidRDefault="00B77CD4">
            <w:pPr>
              <w:suppressAutoHyphens/>
              <w:textAlignment w:val="baseline"/>
              <w:rPr>
                <w:b/>
                <w:kern w:val="3"/>
                <w:sz w:val="20"/>
                <w:lang w:eastAsia="zh-CN"/>
              </w:rPr>
            </w:pPr>
          </w:p>
        </w:tc>
      </w:tr>
      <w:tr w:rsidR="00B77CD4" w14:paraId="308200C3" w14:textId="59568909">
        <w:tc>
          <w:tcPr>
            <w:tcW w:w="2658" w:type="dxa"/>
            <w:shd w:val="clear" w:color="auto" w:fill="F2F2F2"/>
            <w:vAlign w:val="center"/>
          </w:tcPr>
          <w:p w14:paraId="7EB264C1" w14:textId="77777777" w:rsidR="00B77CD4" w:rsidRDefault="00D211FC">
            <w:pPr>
              <w:suppressAutoHyphens/>
              <w:textAlignment w:val="baseline"/>
              <w:rPr>
                <w:kern w:val="3"/>
                <w:sz w:val="20"/>
                <w:lang w:eastAsia="zh-CN"/>
              </w:rPr>
            </w:pPr>
            <w:r>
              <w:rPr>
                <w:kern w:val="3"/>
                <w:sz w:val="20"/>
                <w:lang w:eastAsia="zh-CN"/>
              </w:rPr>
              <w:t>Atstovavimo pagrindas (</w:t>
            </w:r>
            <w:proofErr w:type="spellStart"/>
            <w:r>
              <w:rPr>
                <w:kern w:val="3"/>
                <w:sz w:val="20"/>
                <w:lang w:eastAsia="zh-CN"/>
              </w:rPr>
              <w:t>dok</w:t>
            </w:r>
            <w:proofErr w:type="spellEnd"/>
            <w:r>
              <w:rPr>
                <w:kern w:val="3"/>
                <w:sz w:val="20"/>
                <w:lang w:eastAsia="zh-CN"/>
              </w:rPr>
              <w:t>.)</w:t>
            </w:r>
          </w:p>
        </w:tc>
        <w:tc>
          <w:tcPr>
            <w:tcW w:w="2186" w:type="dxa"/>
            <w:shd w:val="clear" w:color="auto" w:fill="auto"/>
            <w:vAlign w:val="center"/>
          </w:tcPr>
          <w:p w14:paraId="1CD044BD" w14:textId="77777777" w:rsidR="00B77CD4" w:rsidRDefault="00B77CD4">
            <w:pPr>
              <w:suppressAutoHyphens/>
              <w:textAlignment w:val="baseline"/>
              <w:rPr>
                <w:kern w:val="3"/>
                <w:sz w:val="20"/>
                <w:lang w:eastAsia="zh-CN"/>
              </w:rPr>
            </w:pPr>
          </w:p>
        </w:tc>
        <w:tc>
          <w:tcPr>
            <w:tcW w:w="2325" w:type="dxa"/>
            <w:shd w:val="clear" w:color="auto" w:fill="auto"/>
          </w:tcPr>
          <w:p w14:paraId="7CE9CD9D" w14:textId="77777777" w:rsidR="00B77CD4" w:rsidRDefault="00B77CD4">
            <w:pPr>
              <w:suppressAutoHyphens/>
              <w:textAlignment w:val="baseline"/>
              <w:rPr>
                <w:b/>
                <w:kern w:val="3"/>
                <w:sz w:val="20"/>
                <w:lang w:eastAsia="zh-CN"/>
              </w:rPr>
            </w:pPr>
          </w:p>
        </w:tc>
        <w:tc>
          <w:tcPr>
            <w:tcW w:w="2175" w:type="dxa"/>
          </w:tcPr>
          <w:p w14:paraId="67D3F2A3" w14:textId="77777777" w:rsidR="00B77CD4" w:rsidRDefault="00B77CD4">
            <w:pPr>
              <w:suppressAutoHyphens/>
              <w:textAlignment w:val="baseline"/>
              <w:rPr>
                <w:b/>
                <w:kern w:val="3"/>
                <w:sz w:val="20"/>
                <w:lang w:eastAsia="zh-CN"/>
              </w:rPr>
            </w:pPr>
          </w:p>
        </w:tc>
      </w:tr>
    </w:tbl>
    <w:p w14:paraId="1A22BBDB" w14:textId="77777777" w:rsidR="00B77CD4" w:rsidRDefault="00B77CD4">
      <w:pPr>
        <w:tabs>
          <w:tab w:val="left" w:pos="10053"/>
        </w:tabs>
        <w:jc w:val="both"/>
        <w:rPr>
          <w:b/>
          <w:sz w:val="20"/>
          <w:lang w:eastAsia="lt-LT"/>
        </w:rPr>
      </w:pPr>
    </w:p>
    <w:p w14:paraId="5FA0000B" w14:textId="204A517D" w:rsidR="00B77CD4" w:rsidRDefault="00D211FC">
      <w:pPr>
        <w:tabs>
          <w:tab w:val="left" w:pos="10053"/>
        </w:tabs>
        <w:ind w:left="1080" w:hanging="720"/>
        <w:rPr>
          <w:b/>
          <w:sz w:val="20"/>
          <w:lang w:eastAsia="lt-LT"/>
        </w:rPr>
      </w:pPr>
      <w:r>
        <w:rPr>
          <w:b/>
          <w:sz w:val="20"/>
          <w:lang w:eastAsia="lt-LT"/>
        </w:rPr>
        <w:t>II.</w:t>
      </w:r>
      <w:r>
        <w:rPr>
          <w:b/>
          <w:sz w:val="20"/>
          <w:lang w:eastAsia="lt-LT"/>
        </w:rPr>
        <w:tab/>
        <w:t>SUSITARIMO SPECIALIOJI DALIS</w:t>
      </w:r>
    </w:p>
    <w:p w14:paraId="182E92CB" w14:textId="77777777" w:rsidR="00B77CD4" w:rsidRDefault="00B77CD4">
      <w:pPr>
        <w:tabs>
          <w:tab w:val="left" w:pos="10053"/>
        </w:tabs>
        <w:jc w:val="both"/>
        <w:rPr>
          <w:b/>
          <w:sz w:val="20"/>
          <w:lang w:eastAsia="lt-LT"/>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29"/>
        <w:gridCol w:w="1529"/>
        <w:gridCol w:w="1529"/>
        <w:gridCol w:w="1530"/>
      </w:tblGrid>
      <w:tr w:rsidR="00B77CD4" w14:paraId="3183ACE8" w14:textId="77777777">
        <w:trPr>
          <w:jc w:val="center"/>
        </w:trPr>
        <w:tc>
          <w:tcPr>
            <w:tcW w:w="9373" w:type="dxa"/>
            <w:gridSpan w:val="5"/>
            <w:shd w:val="clear" w:color="auto" w:fill="F2F2F2"/>
            <w:tcMar>
              <w:top w:w="57" w:type="dxa"/>
              <w:bottom w:w="57" w:type="dxa"/>
            </w:tcMar>
            <w:vAlign w:val="center"/>
          </w:tcPr>
          <w:p w14:paraId="131541A2" w14:textId="2FD85A90" w:rsidR="00B77CD4" w:rsidRDefault="00D211FC">
            <w:pPr>
              <w:suppressAutoHyphens/>
              <w:ind w:left="360" w:hanging="360"/>
              <w:textAlignment w:val="baseline"/>
              <w:rPr>
                <w:b/>
                <w:bCs/>
                <w:kern w:val="3"/>
                <w:sz w:val="20"/>
                <w:lang w:eastAsia="zh-CN"/>
              </w:rPr>
            </w:pPr>
            <w:r>
              <w:rPr>
                <w:b/>
                <w:bCs/>
                <w:kern w:val="3"/>
                <w:sz w:val="20"/>
                <w:lang w:eastAsia="zh-CN"/>
              </w:rPr>
              <w:t>1.</w:t>
            </w:r>
            <w:r>
              <w:rPr>
                <w:b/>
                <w:bCs/>
                <w:kern w:val="3"/>
                <w:sz w:val="20"/>
                <w:lang w:eastAsia="zh-CN"/>
              </w:rPr>
              <w:tab/>
              <w:t>DOKUMENTAI, KURIŲ PAGRINDU SUDAROMAS ŠIS SUSITARIMAS</w:t>
            </w:r>
          </w:p>
        </w:tc>
      </w:tr>
      <w:tr w:rsidR="00B77CD4" w14:paraId="6817F08B" w14:textId="77777777">
        <w:trPr>
          <w:trHeight w:val="239"/>
          <w:jc w:val="center"/>
        </w:trPr>
        <w:tc>
          <w:tcPr>
            <w:tcW w:w="3256" w:type="dxa"/>
            <w:shd w:val="clear" w:color="auto" w:fill="F2F2F2"/>
            <w:tcMar>
              <w:top w:w="57" w:type="dxa"/>
              <w:bottom w:w="57" w:type="dxa"/>
            </w:tcMar>
            <w:vAlign w:val="center"/>
          </w:tcPr>
          <w:p w14:paraId="238D1DF2" w14:textId="1492390B" w:rsidR="00B77CD4" w:rsidRDefault="00D211FC">
            <w:pPr>
              <w:tabs>
                <w:tab w:val="left" w:pos="492"/>
                <w:tab w:val="left" w:pos="876"/>
              </w:tabs>
              <w:suppressAutoHyphens/>
              <w:textAlignment w:val="baseline"/>
              <w:rPr>
                <w:kern w:val="3"/>
                <w:sz w:val="20"/>
                <w:lang w:eastAsia="zh-CN"/>
              </w:rPr>
            </w:pPr>
            <w:r>
              <w:rPr>
                <w:kern w:val="3"/>
                <w:sz w:val="20"/>
                <w:lang w:eastAsia="zh-CN"/>
              </w:rPr>
              <w:t xml:space="preserve">1.1. </w:t>
            </w:r>
            <w:r>
              <w:rPr>
                <w:bCs/>
                <w:kern w:val="3"/>
                <w:sz w:val="20"/>
                <w:lang w:eastAsia="zh-CN"/>
              </w:rPr>
              <w:t xml:space="preserve">Lietuvos literatūros vertimų skatinimo projekto </w:t>
            </w:r>
            <w:r>
              <w:rPr>
                <w:bCs/>
                <w:iCs/>
                <w:kern w:val="3"/>
                <w:sz w:val="20"/>
                <w:lang w:eastAsia="zh-CN"/>
              </w:rPr>
              <w:t>arba projekto II (</w:t>
            </w:r>
            <w:r>
              <w:rPr>
                <w:bCs/>
                <w:kern w:val="3"/>
                <w:sz w:val="20"/>
                <w:lang w:eastAsia="zh-CN"/>
              </w:rPr>
              <w:t xml:space="preserve">dviejų) etapų dalinio </w:t>
            </w:r>
            <w:r>
              <w:rPr>
                <w:bCs/>
                <w:iCs/>
                <w:kern w:val="3"/>
                <w:sz w:val="20"/>
                <w:lang w:eastAsia="zh-CN"/>
              </w:rPr>
              <w:t>finansavimo valstybės biudžeto lėšomis sutartis</w:t>
            </w:r>
          </w:p>
        </w:tc>
        <w:tc>
          <w:tcPr>
            <w:tcW w:w="1529" w:type="dxa"/>
            <w:shd w:val="clear" w:color="auto" w:fill="F2F2F2" w:themeFill="background1" w:themeFillShade="F2"/>
            <w:tcMar>
              <w:top w:w="57" w:type="dxa"/>
              <w:bottom w:w="57" w:type="dxa"/>
            </w:tcMar>
            <w:vAlign w:val="center"/>
          </w:tcPr>
          <w:p w14:paraId="5BCD8688" w14:textId="4E839849" w:rsidR="00B77CD4" w:rsidRDefault="00D211FC">
            <w:pPr>
              <w:suppressAutoHyphens/>
              <w:jc w:val="center"/>
              <w:textAlignment w:val="baseline"/>
              <w:rPr>
                <w:color w:val="FF0000"/>
                <w:kern w:val="3"/>
                <w:sz w:val="20"/>
                <w:lang w:eastAsia="zh-CN"/>
              </w:rPr>
            </w:pPr>
            <w:r>
              <w:rPr>
                <w:kern w:val="3"/>
                <w:sz w:val="20"/>
                <w:lang w:eastAsia="zh-CN"/>
              </w:rPr>
              <w:t>Data:</w:t>
            </w:r>
          </w:p>
        </w:tc>
        <w:tc>
          <w:tcPr>
            <w:tcW w:w="1529" w:type="dxa"/>
            <w:shd w:val="clear" w:color="auto" w:fill="auto"/>
            <w:vAlign w:val="center"/>
          </w:tcPr>
          <w:p w14:paraId="77C28256" w14:textId="57686A94" w:rsidR="00B77CD4" w:rsidRDefault="00B77CD4">
            <w:pPr>
              <w:suppressAutoHyphens/>
              <w:textAlignment w:val="baseline"/>
              <w:rPr>
                <w:color w:val="FF0000"/>
                <w:kern w:val="3"/>
                <w:sz w:val="20"/>
                <w:lang w:eastAsia="zh-CN"/>
              </w:rPr>
            </w:pPr>
          </w:p>
        </w:tc>
        <w:tc>
          <w:tcPr>
            <w:tcW w:w="1529" w:type="dxa"/>
            <w:shd w:val="clear" w:color="auto" w:fill="F2F2F2" w:themeFill="background1" w:themeFillShade="F2"/>
            <w:vAlign w:val="center"/>
          </w:tcPr>
          <w:p w14:paraId="3784E14C" w14:textId="7228F54A" w:rsidR="00B77CD4" w:rsidRDefault="00D211FC">
            <w:pPr>
              <w:suppressAutoHyphens/>
              <w:jc w:val="center"/>
              <w:textAlignment w:val="baseline"/>
              <w:rPr>
                <w:color w:val="FF0000"/>
                <w:kern w:val="3"/>
                <w:sz w:val="20"/>
                <w:lang w:eastAsia="zh-CN"/>
              </w:rPr>
            </w:pPr>
            <w:r>
              <w:rPr>
                <w:kern w:val="3"/>
                <w:sz w:val="20"/>
                <w:lang w:eastAsia="zh-CN"/>
              </w:rPr>
              <w:t>Nr.:</w:t>
            </w:r>
          </w:p>
        </w:tc>
        <w:tc>
          <w:tcPr>
            <w:tcW w:w="1530" w:type="dxa"/>
            <w:shd w:val="clear" w:color="auto" w:fill="auto"/>
            <w:vAlign w:val="center"/>
          </w:tcPr>
          <w:p w14:paraId="7C0F0AA2" w14:textId="2FBE6DBE" w:rsidR="00B77CD4" w:rsidRDefault="00B77CD4">
            <w:pPr>
              <w:suppressAutoHyphens/>
              <w:textAlignment w:val="baseline"/>
              <w:rPr>
                <w:color w:val="FF0000"/>
                <w:kern w:val="3"/>
                <w:sz w:val="20"/>
                <w:lang w:eastAsia="zh-CN"/>
              </w:rPr>
            </w:pPr>
          </w:p>
        </w:tc>
      </w:tr>
      <w:tr w:rsidR="00B77CD4" w14:paraId="64172F89" w14:textId="77777777">
        <w:trPr>
          <w:trHeight w:val="239"/>
          <w:jc w:val="center"/>
        </w:trPr>
        <w:tc>
          <w:tcPr>
            <w:tcW w:w="3256" w:type="dxa"/>
            <w:shd w:val="clear" w:color="auto" w:fill="F2F2F2"/>
            <w:tcMar>
              <w:top w:w="57" w:type="dxa"/>
              <w:bottom w:w="57" w:type="dxa"/>
            </w:tcMar>
            <w:vAlign w:val="center"/>
          </w:tcPr>
          <w:p w14:paraId="4B04DC26" w14:textId="58A2F70D" w:rsidR="00B77CD4" w:rsidRDefault="00D211FC">
            <w:pPr>
              <w:tabs>
                <w:tab w:val="left" w:pos="492"/>
                <w:tab w:val="left" w:pos="876"/>
              </w:tabs>
              <w:suppressAutoHyphens/>
              <w:textAlignment w:val="baseline"/>
              <w:rPr>
                <w:kern w:val="3"/>
                <w:sz w:val="20"/>
                <w:lang w:eastAsia="zh-CN"/>
              </w:rPr>
            </w:pPr>
            <w:r>
              <w:rPr>
                <w:kern w:val="3"/>
                <w:sz w:val="20"/>
                <w:lang w:eastAsia="zh-CN"/>
              </w:rPr>
              <w:t xml:space="preserve">1.2. </w:t>
            </w:r>
            <w:r>
              <w:rPr>
                <w:bCs/>
                <w:kern w:val="3"/>
                <w:sz w:val="20"/>
                <w:lang w:eastAsia="zh-CN"/>
              </w:rPr>
              <w:t>Lietuvos literatūros vertimų skatinimo</w:t>
            </w:r>
            <w:r>
              <w:rPr>
                <w:kern w:val="3"/>
                <w:sz w:val="20"/>
                <w:lang w:eastAsia="zh-CN"/>
              </w:rPr>
              <w:t xml:space="preserve"> projekto arba projekto I (pirmo) etapo, arba projekto I (pirmo) ir II (antro) etapų įgyvendinimo ir faktinių išlaidų ataskaita</w:t>
            </w:r>
          </w:p>
        </w:tc>
        <w:tc>
          <w:tcPr>
            <w:tcW w:w="1529" w:type="dxa"/>
            <w:shd w:val="clear" w:color="auto" w:fill="F2F2F2" w:themeFill="background1" w:themeFillShade="F2"/>
            <w:tcMar>
              <w:top w:w="57" w:type="dxa"/>
              <w:bottom w:w="57" w:type="dxa"/>
            </w:tcMar>
            <w:vAlign w:val="center"/>
          </w:tcPr>
          <w:p w14:paraId="147E88BB" w14:textId="002EF497" w:rsidR="00B77CD4" w:rsidRDefault="00D211FC">
            <w:pPr>
              <w:suppressAutoHyphens/>
              <w:jc w:val="center"/>
              <w:textAlignment w:val="baseline"/>
              <w:rPr>
                <w:kern w:val="3"/>
                <w:sz w:val="20"/>
                <w:lang w:eastAsia="zh-CN"/>
              </w:rPr>
            </w:pPr>
            <w:r>
              <w:rPr>
                <w:kern w:val="3"/>
                <w:sz w:val="20"/>
                <w:lang w:eastAsia="zh-CN"/>
              </w:rPr>
              <w:t>Data:</w:t>
            </w:r>
          </w:p>
        </w:tc>
        <w:tc>
          <w:tcPr>
            <w:tcW w:w="1529" w:type="dxa"/>
            <w:shd w:val="clear" w:color="auto" w:fill="auto"/>
            <w:vAlign w:val="center"/>
          </w:tcPr>
          <w:p w14:paraId="55502920" w14:textId="77777777" w:rsidR="00B77CD4" w:rsidRDefault="00B77CD4">
            <w:pPr>
              <w:suppressAutoHyphens/>
              <w:textAlignment w:val="baseline"/>
              <w:rPr>
                <w:color w:val="FF0000"/>
                <w:kern w:val="3"/>
                <w:sz w:val="20"/>
                <w:lang w:eastAsia="zh-CN"/>
              </w:rPr>
            </w:pPr>
          </w:p>
        </w:tc>
        <w:tc>
          <w:tcPr>
            <w:tcW w:w="1529" w:type="dxa"/>
            <w:shd w:val="clear" w:color="auto" w:fill="F2F2F2" w:themeFill="background1" w:themeFillShade="F2"/>
            <w:vAlign w:val="center"/>
          </w:tcPr>
          <w:p w14:paraId="7F469D7E" w14:textId="579851CB" w:rsidR="00B77CD4" w:rsidRDefault="00D211FC">
            <w:pPr>
              <w:suppressAutoHyphens/>
              <w:jc w:val="center"/>
              <w:textAlignment w:val="baseline"/>
              <w:rPr>
                <w:kern w:val="3"/>
                <w:sz w:val="20"/>
                <w:lang w:eastAsia="zh-CN"/>
              </w:rPr>
            </w:pPr>
            <w:r>
              <w:rPr>
                <w:kern w:val="3"/>
                <w:sz w:val="20"/>
                <w:lang w:eastAsia="zh-CN"/>
              </w:rPr>
              <w:t>Nr.:</w:t>
            </w:r>
          </w:p>
        </w:tc>
        <w:tc>
          <w:tcPr>
            <w:tcW w:w="1530" w:type="dxa"/>
            <w:shd w:val="clear" w:color="auto" w:fill="auto"/>
            <w:vAlign w:val="center"/>
          </w:tcPr>
          <w:p w14:paraId="5314E80D" w14:textId="77777777" w:rsidR="00B77CD4" w:rsidRDefault="00B77CD4">
            <w:pPr>
              <w:suppressAutoHyphens/>
              <w:textAlignment w:val="baseline"/>
              <w:rPr>
                <w:color w:val="FF0000"/>
                <w:kern w:val="3"/>
                <w:sz w:val="20"/>
                <w:lang w:eastAsia="zh-CN"/>
              </w:rPr>
            </w:pPr>
          </w:p>
        </w:tc>
      </w:tr>
      <w:tr w:rsidR="00B77CD4" w14:paraId="24F73500" w14:textId="77777777">
        <w:trPr>
          <w:jc w:val="center"/>
        </w:trPr>
        <w:tc>
          <w:tcPr>
            <w:tcW w:w="9373" w:type="dxa"/>
            <w:gridSpan w:val="5"/>
            <w:shd w:val="clear" w:color="auto" w:fill="F2F2F2"/>
            <w:tcMar>
              <w:top w:w="57" w:type="dxa"/>
              <w:bottom w:w="57" w:type="dxa"/>
            </w:tcMar>
            <w:vAlign w:val="center"/>
          </w:tcPr>
          <w:p w14:paraId="0DE4FE29" w14:textId="1EAEB812" w:rsidR="00B77CD4" w:rsidRDefault="00D211FC">
            <w:pPr>
              <w:suppressAutoHyphens/>
              <w:ind w:left="360" w:hanging="360"/>
              <w:textAlignment w:val="baseline"/>
              <w:rPr>
                <w:b/>
                <w:bCs/>
                <w:kern w:val="3"/>
                <w:sz w:val="20"/>
                <w:lang w:eastAsia="zh-CN"/>
              </w:rPr>
            </w:pPr>
            <w:r>
              <w:rPr>
                <w:b/>
                <w:bCs/>
                <w:kern w:val="3"/>
                <w:sz w:val="20"/>
                <w:lang w:eastAsia="zh-CN"/>
              </w:rPr>
              <w:t>2.</w:t>
            </w:r>
            <w:r>
              <w:rPr>
                <w:b/>
                <w:bCs/>
                <w:kern w:val="3"/>
                <w:sz w:val="20"/>
                <w:lang w:eastAsia="zh-CN"/>
              </w:rPr>
              <w:tab/>
              <w:t>VERTĖJUI PERVEDAMOS LĖŠOS</w:t>
            </w:r>
          </w:p>
        </w:tc>
      </w:tr>
      <w:tr w:rsidR="00B77CD4" w14:paraId="7F0EA8B0" w14:textId="77777777">
        <w:trPr>
          <w:jc w:val="center"/>
        </w:trPr>
        <w:tc>
          <w:tcPr>
            <w:tcW w:w="3256" w:type="dxa"/>
            <w:shd w:val="clear" w:color="auto" w:fill="F2F2F2"/>
            <w:tcMar>
              <w:top w:w="57" w:type="dxa"/>
              <w:bottom w:w="57" w:type="dxa"/>
            </w:tcMar>
            <w:vAlign w:val="center"/>
          </w:tcPr>
          <w:p w14:paraId="3AB90D21" w14:textId="61A576BA" w:rsidR="00B77CD4" w:rsidRDefault="00D211FC">
            <w:pPr>
              <w:tabs>
                <w:tab w:val="left" w:pos="492"/>
                <w:tab w:val="left" w:pos="876"/>
              </w:tabs>
              <w:suppressAutoHyphens/>
              <w:textAlignment w:val="baseline"/>
              <w:rPr>
                <w:kern w:val="3"/>
                <w:sz w:val="20"/>
                <w:lang w:eastAsia="zh-CN"/>
              </w:rPr>
            </w:pPr>
            <w:r>
              <w:rPr>
                <w:kern w:val="3"/>
                <w:sz w:val="20"/>
                <w:lang w:eastAsia="zh-CN"/>
              </w:rPr>
              <w:t>2.1. Lėšų suma, EUR</w:t>
            </w:r>
          </w:p>
        </w:tc>
        <w:tc>
          <w:tcPr>
            <w:tcW w:w="6117" w:type="dxa"/>
            <w:gridSpan w:val="4"/>
            <w:shd w:val="clear" w:color="auto" w:fill="auto"/>
            <w:tcMar>
              <w:top w:w="57" w:type="dxa"/>
              <w:bottom w:w="57" w:type="dxa"/>
            </w:tcMar>
            <w:vAlign w:val="center"/>
          </w:tcPr>
          <w:p w14:paraId="68397371" w14:textId="77777777" w:rsidR="00B77CD4" w:rsidRDefault="00B77CD4">
            <w:pPr>
              <w:suppressAutoHyphens/>
              <w:textAlignment w:val="baseline"/>
              <w:rPr>
                <w:color w:val="FF0000"/>
                <w:kern w:val="3"/>
                <w:sz w:val="20"/>
                <w:lang w:eastAsia="zh-CN"/>
              </w:rPr>
            </w:pPr>
          </w:p>
        </w:tc>
      </w:tr>
      <w:tr w:rsidR="00B77CD4" w14:paraId="3CA5C4C6" w14:textId="77777777">
        <w:trPr>
          <w:jc w:val="center"/>
        </w:trPr>
        <w:tc>
          <w:tcPr>
            <w:tcW w:w="9373" w:type="dxa"/>
            <w:gridSpan w:val="5"/>
            <w:shd w:val="clear" w:color="auto" w:fill="F2F2F2"/>
            <w:tcMar>
              <w:top w:w="57" w:type="dxa"/>
              <w:bottom w:w="57" w:type="dxa"/>
            </w:tcMar>
            <w:vAlign w:val="center"/>
          </w:tcPr>
          <w:p w14:paraId="706A64B1" w14:textId="7F8C5E71" w:rsidR="00B77CD4" w:rsidRDefault="00D211FC">
            <w:pPr>
              <w:suppressAutoHyphens/>
              <w:textAlignment w:val="baseline"/>
              <w:rPr>
                <w:color w:val="FF0000"/>
                <w:kern w:val="3"/>
                <w:sz w:val="20"/>
                <w:lang w:eastAsia="zh-CN"/>
              </w:rPr>
            </w:pPr>
            <w:r>
              <w:rPr>
                <w:bCs/>
                <w:kern w:val="3"/>
                <w:sz w:val="20"/>
                <w:lang w:eastAsia="zh-CN"/>
              </w:rPr>
              <w:t xml:space="preserve">2.2. Vertėjo banko sąskaitos, į kurią turi būti </w:t>
            </w:r>
            <w:r>
              <w:rPr>
                <w:bCs/>
                <w:kern w:val="3"/>
                <w:sz w:val="20"/>
                <w:lang w:eastAsia="zh-CN"/>
              </w:rPr>
              <w:t>pervestos lėšos, duomenys</w:t>
            </w:r>
          </w:p>
        </w:tc>
      </w:tr>
      <w:tr w:rsidR="00B77CD4" w14:paraId="6E45D735" w14:textId="77777777">
        <w:trPr>
          <w:jc w:val="center"/>
        </w:trPr>
        <w:tc>
          <w:tcPr>
            <w:tcW w:w="3256" w:type="dxa"/>
            <w:shd w:val="clear" w:color="auto" w:fill="F2F2F2"/>
            <w:tcMar>
              <w:top w:w="57" w:type="dxa"/>
              <w:bottom w:w="57" w:type="dxa"/>
            </w:tcMar>
            <w:vAlign w:val="center"/>
          </w:tcPr>
          <w:p w14:paraId="3E7ABE1D" w14:textId="0C7894FD" w:rsidR="00B77CD4" w:rsidRDefault="00D211FC">
            <w:pPr>
              <w:tabs>
                <w:tab w:val="left" w:pos="492"/>
                <w:tab w:val="left" w:pos="876"/>
              </w:tabs>
              <w:suppressAutoHyphens/>
              <w:textAlignment w:val="baseline"/>
              <w:rPr>
                <w:bCs/>
                <w:kern w:val="3"/>
                <w:sz w:val="20"/>
                <w:lang w:eastAsia="zh-CN"/>
              </w:rPr>
            </w:pPr>
            <w:r>
              <w:rPr>
                <w:bCs/>
                <w:kern w:val="3"/>
                <w:sz w:val="20"/>
                <w:lang w:eastAsia="zh-CN"/>
              </w:rPr>
              <w:t>2.2.1. Sąskaitos Nr. (IBAN)</w:t>
            </w:r>
            <w:r>
              <w:rPr>
                <w:bCs/>
                <w:kern w:val="3"/>
                <w:sz w:val="20"/>
                <w:vertAlign w:val="superscript"/>
                <w:lang w:eastAsia="zh-CN"/>
              </w:rPr>
              <w:footnoteReference w:id="1"/>
            </w:r>
          </w:p>
        </w:tc>
        <w:tc>
          <w:tcPr>
            <w:tcW w:w="6117" w:type="dxa"/>
            <w:gridSpan w:val="4"/>
            <w:shd w:val="clear" w:color="auto" w:fill="auto"/>
            <w:tcMar>
              <w:top w:w="57" w:type="dxa"/>
              <w:bottom w:w="57" w:type="dxa"/>
            </w:tcMar>
            <w:vAlign w:val="center"/>
          </w:tcPr>
          <w:p w14:paraId="05DC44BE" w14:textId="319B581A" w:rsidR="00B77CD4" w:rsidRDefault="00B77CD4">
            <w:pPr>
              <w:suppressAutoHyphens/>
              <w:textAlignment w:val="baseline"/>
              <w:rPr>
                <w:color w:val="FF0000"/>
                <w:kern w:val="3"/>
                <w:sz w:val="20"/>
                <w:lang w:eastAsia="zh-CN"/>
              </w:rPr>
            </w:pPr>
          </w:p>
        </w:tc>
      </w:tr>
      <w:tr w:rsidR="00B77CD4" w14:paraId="4EFF02B6" w14:textId="77777777">
        <w:trPr>
          <w:jc w:val="center"/>
        </w:trPr>
        <w:tc>
          <w:tcPr>
            <w:tcW w:w="3256" w:type="dxa"/>
            <w:shd w:val="clear" w:color="auto" w:fill="F2F2F2"/>
            <w:tcMar>
              <w:top w:w="57" w:type="dxa"/>
              <w:bottom w:w="57" w:type="dxa"/>
            </w:tcMar>
            <w:vAlign w:val="center"/>
          </w:tcPr>
          <w:p w14:paraId="10B61BEB" w14:textId="4F3D0FFE" w:rsidR="00B77CD4" w:rsidRDefault="00D211FC">
            <w:pPr>
              <w:tabs>
                <w:tab w:val="left" w:pos="492"/>
                <w:tab w:val="left" w:pos="876"/>
              </w:tabs>
              <w:suppressAutoHyphens/>
              <w:textAlignment w:val="baseline"/>
              <w:rPr>
                <w:bCs/>
                <w:kern w:val="3"/>
                <w:sz w:val="20"/>
                <w:lang w:eastAsia="zh-CN"/>
              </w:rPr>
            </w:pPr>
            <w:r>
              <w:rPr>
                <w:bCs/>
                <w:kern w:val="3"/>
                <w:sz w:val="20"/>
                <w:lang w:eastAsia="zh-CN"/>
              </w:rPr>
              <w:t>2.2.2. Banko kodas (SWIFT)</w:t>
            </w:r>
          </w:p>
        </w:tc>
        <w:tc>
          <w:tcPr>
            <w:tcW w:w="6117" w:type="dxa"/>
            <w:gridSpan w:val="4"/>
            <w:shd w:val="clear" w:color="auto" w:fill="auto"/>
            <w:tcMar>
              <w:top w:w="57" w:type="dxa"/>
              <w:bottom w:w="57" w:type="dxa"/>
            </w:tcMar>
            <w:vAlign w:val="center"/>
          </w:tcPr>
          <w:p w14:paraId="3559BEF1" w14:textId="77777777" w:rsidR="00B77CD4" w:rsidRDefault="00B77CD4">
            <w:pPr>
              <w:suppressAutoHyphens/>
              <w:textAlignment w:val="baseline"/>
              <w:rPr>
                <w:color w:val="FF0000"/>
                <w:kern w:val="3"/>
                <w:sz w:val="20"/>
                <w:lang w:eastAsia="zh-CN"/>
              </w:rPr>
            </w:pPr>
          </w:p>
        </w:tc>
      </w:tr>
      <w:tr w:rsidR="00B77CD4" w14:paraId="057D84B4" w14:textId="77777777">
        <w:trPr>
          <w:jc w:val="center"/>
        </w:trPr>
        <w:tc>
          <w:tcPr>
            <w:tcW w:w="3256" w:type="dxa"/>
            <w:shd w:val="clear" w:color="auto" w:fill="F2F2F2"/>
            <w:tcMar>
              <w:top w:w="57" w:type="dxa"/>
              <w:bottom w:w="57" w:type="dxa"/>
            </w:tcMar>
            <w:vAlign w:val="center"/>
          </w:tcPr>
          <w:p w14:paraId="085DF036" w14:textId="086F6647" w:rsidR="00B77CD4" w:rsidRDefault="00D211FC">
            <w:pPr>
              <w:tabs>
                <w:tab w:val="left" w:pos="492"/>
                <w:tab w:val="left" w:pos="876"/>
              </w:tabs>
              <w:suppressAutoHyphens/>
              <w:textAlignment w:val="baseline"/>
              <w:rPr>
                <w:bCs/>
                <w:kern w:val="3"/>
                <w:sz w:val="20"/>
                <w:lang w:eastAsia="zh-CN"/>
              </w:rPr>
            </w:pPr>
            <w:r>
              <w:rPr>
                <w:bCs/>
                <w:kern w:val="3"/>
                <w:sz w:val="20"/>
                <w:lang w:eastAsia="zh-CN"/>
              </w:rPr>
              <w:t>2.2.3. Banko pavadinimas</w:t>
            </w:r>
          </w:p>
        </w:tc>
        <w:tc>
          <w:tcPr>
            <w:tcW w:w="6117" w:type="dxa"/>
            <w:gridSpan w:val="4"/>
            <w:shd w:val="clear" w:color="auto" w:fill="auto"/>
            <w:tcMar>
              <w:top w:w="57" w:type="dxa"/>
              <w:bottom w:w="57" w:type="dxa"/>
            </w:tcMar>
            <w:vAlign w:val="center"/>
          </w:tcPr>
          <w:p w14:paraId="16D50716" w14:textId="77777777" w:rsidR="00B77CD4" w:rsidRDefault="00B77CD4">
            <w:pPr>
              <w:suppressAutoHyphens/>
              <w:textAlignment w:val="baseline"/>
              <w:rPr>
                <w:color w:val="FF0000"/>
                <w:kern w:val="3"/>
                <w:sz w:val="20"/>
                <w:lang w:eastAsia="zh-CN"/>
              </w:rPr>
            </w:pPr>
          </w:p>
        </w:tc>
      </w:tr>
      <w:tr w:rsidR="00B77CD4" w14:paraId="48C29055" w14:textId="77777777">
        <w:trPr>
          <w:jc w:val="center"/>
        </w:trPr>
        <w:tc>
          <w:tcPr>
            <w:tcW w:w="3256" w:type="dxa"/>
            <w:shd w:val="clear" w:color="auto" w:fill="F2F2F2"/>
            <w:tcMar>
              <w:top w:w="57" w:type="dxa"/>
              <w:bottom w:w="57" w:type="dxa"/>
            </w:tcMar>
            <w:vAlign w:val="center"/>
          </w:tcPr>
          <w:p w14:paraId="3B589939" w14:textId="62B0C92F" w:rsidR="00B77CD4" w:rsidRDefault="00D211FC">
            <w:pPr>
              <w:tabs>
                <w:tab w:val="left" w:pos="492"/>
                <w:tab w:val="left" w:pos="876"/>
              </w:tabs>
              <w:suppressAutoHyphens/>
              <w:textAlignment w:val="baseline"/>
              <w:rPr>
                <w:bCs/>
                <w:kern w:val="3"/>
                <w:sz w:val="20"/>
                <w:lang w:eastAsia="zh-CN"/>
              </w:rPr>
            </w:pPr>
            <w:r>
              <w:rPr>
                <w:bCs/>
                <w:kern w:val="3"/>
                <w:sz w:val="20"/>
                <w:lang w:eastAsia="zh-CN"/>
              </w:rPr>
              <w:t>2.2.4. Banko adresas</w:t>
            </w:r>
          </w:p>
        </w:tc>
        <w:tc>
          <w:tcPr>
            <w:tcW w:w="6117" w:type="dxa"/>
            <w:gridSpan w:val="4"/>
            <w:shd w:val="clear" w:color="auto" w:fill="auto"/>
            <w:tcMar>
              <w:top w:w="57" w:type="dxa"/>
              <w:bottom w:w="57" w:type="dxa"/>
            </w:tcMar>
            <w:vAlign w:val="center"/>
          </w:tcPr>
          <w:p w14:paraId="50FB0383" w14:textId="77777777" w:rsidR="00B77CD4" w:rsidRDefault="00B77CD4">
            <w:pPr>
              <w:suppressAutoHyphens/>
              <w:textAlignment w:val="baseline"/>
              <w:rPr>
                <w:color w:val="FF0000"/>
                <w:kern w:val="3"/>
                <w:sz w:val="20"/>
                <w:lang w:eastAsia="zh-CN"/>
              </w:rPr>
            </w:pPr>
          </w:p>
        </w:tc>
      </w:tr>
      <w:tr w:rsidR="00B77CD4" w14:paraId="5CE6028F" w14:textId="77777777">
        <w:trPr>
          <w:jc w:val="center"/>
        </w:trPr>
        <w:tc>
          <w:tcPr>
            <w:tcW w:w="9373" w:type="dxa"/>
            <w:gridSpan w:val="5"/>
            <w:shd w:val="clear" w:color="auto" w:fill="F2F2F2"/>
            <w:tcMar>
              <w:top w:w="57" w:type="dxa"/>
              <w:bottom w:w="57" w:type="dxa"/>
            </w:tcMar>
            <w:vAlign w:val="center"/>
          </w:tcPr>
          <w:p w14:paraId="26D53885" w14:textId="224C5428" w:rsidR="00B77CD4" w:rsidRDefault="00D211FC">
            <w:pPr>
              <w:suppressAutoHyphens/>
              <w:textAlignment w:val="baseline"/>
              <w:rPr>
                <w:color w:val="FF0000"/>
                <w:kern w:val="3"/>
                <w:sz w:val="20"/>
                <w:lang w:eastAsia="zh-CN"/>
              </w:rPr>
            </w:pPr>
            <w:r>
              <w:rPr>
                <w:b/>
                <w:bCs/>
                <w:kern w:val="3"/>
                <w:sz w:val="20"/>
                <w:lang w:eastAsia="zh-CN"/>
              </w:rPr>
              <w:t>3. SPECIALIOSIOS SĄLYGOS IR BENDROSIOS DALIES PAKEITIMAI (jei taikoma):</w:t>
            </w:r>
          </w:p>
        </w:tc>
      </w:tr>
      <w:tr w:rsidR="00B77CD4" w14:paraId="3A035C70" w14:textId="77777777">
        <w:trPr>
          <w:jc w:val="center"/>
        </w:trPr>
        <w:tc>
          <w:tcPr>
            <w:tcW w:w="3256" w:type="dxa"/>
            <w:shd w:val="clear" w:color="auto" w:fill="F2F2F2"/>
            <w:tcMar>
              <w:top w:w="57" w:type="dxa"/>
              <w:bottom w:w="57" w:type="dxa"/>
            </w:tcMar>
            <w:vAlign w:val="center"/>
          </w:tcPr>
          <w:p w14:paraId="7EFD0349" w14:textId="2FE1869A" w:rsidR="00B77CD4" w:rsidRDefault="00D211FC">
            <w:pPr>
              <w:tabs>
                <w:tab w:val="left" w:pos="492"/>
                <w:tab w:val="left" w:pos="876"/>
              </w:tabs>
              <w:suppressAutoHyphens/>
              <w:textAlignment w:val="baseline"/>
              <w:rPr>
                <w:kern w:val="3"/>
                <w:sz w:val="20"/>
                <w:lang w:eastAsia="zh-CN"/>
              </w:rPr>
            </w:pPr>
            <w:r>
              <w:rPr>
                <w:kern w:val="3"/>
                <w:sz w:val="20"/>
                <w:lang w:eastAsia="zh-CN"/>
              </w:rPr>
              <w:t xml:space="preserve">3.1. </w:t>
            </w:r>
            <w:r>
              <w:rPr>
                <w:bCs/>
                <w:kern w:val="3"/>
                <w:sz w:val="20"/>
                <w:lang w:eastAsia="zh-CN"/>
              </w:rPr>
              <w:t>Specialiosios sąlygos</w:t>
            </w:r>
          </w:p>
        </w:tc>
        <w:tc>
          <w:tcPr>
            <w:tcW w:w="6117" w:type="dxa"/>
            <w:gridSpan w:val="4"/>
            <w:shd w:val="clear" w:color="auto" w:fill="auto"/>
            <w:tcMar>
              <w:top w:w="57" w:type="dxa"/>
              <w:bottom w:w="57" w:type="dxa"/>
            </w:tcMar>
            <w:vAlign w:val="center"/>
          </w:tcPr>
          <w:p w14:paraId="4B73F178" w14:textId="77777777" w:rsidR="00B77CD4" w:rsidRDefault="00B77CD4">
            <w:pPr>
              <w:suppressAutoHyphens/>
              <w:textAlignment w:val="baseline"/>
              <w:rPr>
                <w:color w:val="FF0000"/>
                <w:kern w:val="3"/>
                <w:sz w:val="20"/>
                <w:lang w:eastAsia="zh-CN"/>
              </w:rPr>
            </w:pPr>
          </w:p>
        </w:tc>
      </w:tr>
      <w:tr w:rsidR="00B77CD4" w14:paraId="6AC8CF8B" w14:textId="77777777">
        <w:trPr>
          <w:jc w:val="center"/>
        </w:trPr>
        <w:tc>
          <w:tcPr>
            <w:tcW w:w="3256" w:type="dxa"/>
            <w:shd w:val="clear" w:color="auto" w:fill="F2F2F2"/>
            <w:tcMar>
              <w:top w:w="57" w:type="dxa"/>
              <w:bottom w:w="57" w:type="dxa"/>
            </w:tcMar>
            <w:vAlign w:val="center"/>
          </w:tcPr>
          <w:p w14:paraId="2DFE1858" w14:textId="5A612DFD" w:rsidR="00B77CD4" w:rsidRDefault="00D211FC">
            <w:pPr>
              <w:tabs>
                <w:tab w:val="left" w:pos="492"/>
                <w:tab w:val="left" w:pos="876"/>
              </w:tabs>
              <w:suppressAutoHyphens/>
              <w:textAlignment w:val="baseline"/>
              <w:rPr>
                <w:kern w:val="3"/>
                <w:sz w:val="20"/>
                <w:lang w:eastAsia="zh-CN"/>
              </w:rPr>
            </w:pPr>
            <w:r>
              <w:rPr>
                <w:kern w:val="3"/>
                <w:sz w:val="20"/>
                <w:lang w:eastAsia="zh-CN"/>
              </w:rPr>
              <w:t xml:space="preserve">3.2. </w:t>
            </w:r>
            <w:r>
              <w:rPr>
                <w:bCs/>
                <w:kern w:val="3"/>
                <w:sz w:val="20"/>
                <w:lang w:eastAsia="zh-CN"/>
              </w:rPr>
              <w:t>Bendrosios dalies pakeitimai</w:t>
            </w:r>
          </w:p>
        </w:tc>
        <w:tc>
          <w:tcPr>
            <w:tcW w:w="6117" w:type="dxa"/>
            <w:gridSpan w:val="4"/>
            <w:shd w:val="clear" w:color="auto" w:fill="auto"/>
            <w:tcMar>
              <w:top w:w="57" w:type="dxa"/>
              <w:bottom w:w="57" w:type="dxa"/>
            </w:tcMar>
            <w:vAlign w:val="center"/>
          </w:tcPr>
          <w:p w14:paraId="07F8B1C7" w14:textId="77777777" w:rsidR="00B77CD4" w:rsidRDefault="00B77CD4">
            <w:pPr>
              <w:suppressAutoHyphens/>
              <w:textAlignment w:val="baseline"/>
              <w:rPr>
                <w:color w:val="FF0000"/>
                <w:kern w:val="3"/>
                <w:sz w:val="20"/>
                <w:lang w:eastAsia="zh-CN"/>
              </w:rPr>
            </w:pPr>
          </w:p>
        </w:tc>
      </w:tr>
    </w:tbl>
    <w:p w14:paraId="651318EA" w14:textId="77777777" w:rsidR="00B77CD4" w:rsidRDefault="00B77CD4">
      <w:pPr>
        <w:jc w:val="center"/>
        <w:rPr>
          <w:sz w:val="20"/>
          <w:lang w:eastAsia="lt-LT"/>
        </w:rPr>
      </w:pPr>
    </w:p>
    <w:p w14:paraId="44350CD0" w14:textId="35E9A2FB" w:rsidR="00B77CD4" w:rsidRDefault="00D211FC">
      <w:pPr>
        <w:tabs>
          <w:tab w:val="left" w:pos="10053"/>
        </w:tabs>
        <w:ind w:left="1080" w:hanging="720"/>
        <w:rPr>
          <w:b/>
          <w:sz w:val="20"/>
          <w:lang w:eastAsia="lt-LT"/>
        </w:rPr>
      </w:pPr>
      <w:r>
        <w:rPr>
          <w:b/>
          <w:sz w:val="20"/>
          <w:lang w:eastAsia="lt-LT"/>
        </w:rPr>
        <w:t>III.</w:t>
      </w:r>
      <w:r>
        <w:rPr>
          <w:b/>
          <w:sz w:val="20"/>
          <w:lang w:eastAsia="lt-LT"/>
        </w:rPr>
        <w:tab/>
        <w:t>SUSITARIMO BENDROJI DALIS</w:t>
      </w:r>
    </w:p>
    <w:p w14:paraId="3E62CED5" w14:textId="77777777" w:rsidR="00B77CD4" w:rsidRDefault="00B77CD4">
      <w:pPr>
        <w:tabs>
          <w:tab w:val="left" w:pos="10053"/>
        </w:tabs>
        <w:rPr>
          <w:b/>
          <w:sz w:val="20"/>
          <w:lang w:eastAsia="lt-LT"/>
        </w:rPr>
      </w:pPr>
    </w:p>
    <w:p w14:paraId="5331BE5A" w14:textId="6D8882CB" w:rsidR="00B77CD4" w:rsidRDefault="00D211FC">
      <w:pPr>
        <w:tabs>
          <w:tab w:val="left" w:pos="10053"/>
        </w:tabs>
        <w:ind w:left="720" w:hanging="360"/>
        <w:rPr>
          <w:b/>
          <w:sz w:val="20"/>
          <w:lang w:eastAsia="lt-LT"/>
        </w:rPr>
      </w:pPr>
      <w:r>
        <w:rPr>
          <w:b/>
          <w:sz w:val="20"/>
          <w:lang w:eastAsia="lt-LT"/>
        </w:rPr>
        <w:t>1.</w:t>
      </w:r>
      <w:r>
        <w:rPr>
          <w:b/>
          <w:sz w:val="20"/>
          <w:lang w:eastAsia="lt-LT"/>
        </w:rPr>
        <w:tab/>
        <w:t>Bendrosios nuostatos</w:t>
      </w:r>
    </w:p>
    <w:p w14:paraId="6AD30A0D" w14:textId="0F8D261D" w:rsidR="00B77CD4" w:rsidRDefault="00D211FC">
      <w:pPr>
        <w:ind w:left="720" w:hanging="360"/>
        <w:jc w:val="both"/>
        <w:rPr>
          <w:sz w:val="20"/>
          <w:lang w:eastAsia="lt-LT"/>
        </w:rPr>
      </w:pPr>
      <w:r>
        <w:rPr>
          <w:sz w:val="20"/>
          <w:lang w:eastAsia="lt-LT"/>
        </w:rPr>
        <w:lastRenderedPageBreak/>
        <w:t>1.1.</w:t>
      </w:r>
      <w:r>
        <w:rPr>
          <w:sz w:val="20"/>
          <w:lang w:eastAsia="lt-LT"/>
        </w:rPr>
        <w:tab/>
        <w:t xml:space="preserve">Susitarimas dėl tiesioginio lėšų pervedimo vertėjui </w:t>
      </w:r>
      <w:r>
        <w:rPr>
          <w:bCs/>
          <w:iCs/>
          <w:sz w:val="20"/>
          <w:lang w:eastAsia="lt-LT"/>
        </w:rPr>
        <w:t xml:space="preserve">(toliau – Susitarimas) yra sudarytas tarp Instituto, Projekto vykdytojo ir Vertėjo, kurie </w:t>
      </w:r>
      <w:r>
        <w:rPr>
          <w:sz w:val="20"/>
          <w:lang w:eastAsia="lt-LT"/>
        </w:rPr>
        <w:t>toliau kartu Susitarime vadinami Šalimis, o kiekvienas atskirai – Šalimi.</w:t>
      </w:r>
    </w:p>
    <w:p w14:paraId="3D3578E7" w14:textId="27E822D6" w:rsidR="00B77CD4" w:rsidRDefault="00D211FC">
      <w:pPr>
        <w:ind w:left="720" w:hanging="360"/>
        <w:jc w:val="both"/>
        <w:rPr>
          <w:sz w:val="20"/>
          <w:lang w:eastAsia="lt-LT"/>
        </w:rPr>
      </w:pPr>
      <w:r>
        <w:rPr>
          <w:sz w:val="20"/>
          <w:lang w:eastAsia="lt-LT"/>
        </w:rPr>
        <w:t>1.2.</w:t>
      </w:r>
      <w:r>
        <w:rPr>
          <w:sz w:val="20"/>
          <w:lang w:eastAsia="lt-LT"/>
        </w:rPr>
        <w:tab/>
        <w:t xml:space="preserve">Susitarimas yra sudarytas vadovaujantis </w:t>
      </w:r>
      <w:r>
        <w:rPr>
          <w:bCs/>
          <w:color w:val="000000"/>
          <w:sz w:val="20"/>
          <w:shd w:val="clear" w:color="auto" w:fill="FFFFFF"/>
        </w:rPr>
        <w:t>Lietuvos literatūros vertimų skatinimo projektų finansavimo valstybės biudžeto lėšomis tvarkos aprašu</w:t>
      </w:r>
      <w:r>
        <w:rPr>
          <w:bCs/>
          <w:sz w:val="20"/>
          <w:lang w:eastAsia="lt-LT"/>
        </w:rPr>
        <w:t>,</w:t>
      </w:r>
      <w:r>
        <w:rPr>
          <w:sz w:val="20"/>
          <w:lang w:eastAsia="lt-LT"/>
        </w:rPr>
        <w:t xml:space="preserve"> patvirtintu Lietuvos Respublikos kultūros ministro 2024 m. kovo 20 d. įsakymu Nr. ĮV-260 „Dėl </w:t>
      </w:r>
      <w:r>
        <w:rPr>
          <w:bCs/>
          <w:color w:val="000000"/>
          <w:sz w:val="20"/>
          <w:shd w:val="clear" w:color="auto" w:fill="FFFFFF"/>
        </w:rPr>
        <w:t xml:space="preserve">Lietuvos literatūros vertimų skatinimo projektų finansavimo valstybės biudžeto lėšomis tvarkos aprašo </w:t>
      </w:r>
      <w:r>
        <w:rPr>
          <w:sz w:val="20"/>
          <w:lang w:eastAsia="lt-LT"/>
        </w:rPr>
        <w:t>patvirtinimo“ , (toliau – Aprašas), Susitarimo specialiosios dalies 1.1 p. nurodyta sutartimi (toliau – Finansavimo sutartis) ir Susitarimo specialiosios dalies 1.2 p. nuro</w:t>
      </w:r>
      <w:r>
        <w:rPr>
          <w:sz w:val="20"/>
          <w:lang w:eastAsia="lt-LT"/>
        </w:rPr>
        <w:t xml:space="preserve">dyta ataskaita (toliau – Projekto ataskaita). </w:t>
      </w:r>
    </w:p>
    <w:p w14:paraId="476C0A36" w14:textId="72B86ADA" w:rsidR="00B77CD4" w:rsidRDefault="00D211FC">
      <w:pPr>
        <w:ind w:left="720" w:hanging="360"/>
        <w:jc w:val="both"/>
        <w:rPr>
          <w:sz w:val="20"/>
          <w:lang w:eastAsia="lt-LT"/>
        </w:rPr>
      </w:pPr>
      <w:r>
        <w:rPr>
          <w:sz w:val="20"/>
          <w:lang w:eastAsia="lt-LT"/>
        </w:rPr>
        <w:t>1.3.</w:t>
      </w:r>
      <w:r>
        <w:rPr>
          <w:sz w:val="20"/>
          <w:lang w:eastAsia="lt-LT"/>
        </w:rPr>
        <w:tab/>
        <w:t>Atsižvelgiant į tai, kad Susitarimas yra sudarytas Susitarimo bendrosios dalies 1.2 p. nurodytų dokumentų pagrindu ir be šių dokumentų nebūtų atsiradęs ir Šalių sudarytas, Susitarimo bendrosios dalies 1.2 p. nurodyti dokumentai yra laikomi neatskiriama Susitarimo dalimi ją vykdant ir aiškinant.</w:t>
      </w:r>
    </w:p>
    <w:p w14:paraId="16D0A0B9" w14:textId="5EA81EF4" w:rsidR="00B77CD4" w:rsidRDefault="00D211FC">
      <w:pPr>
        <w:ind w:left="720" w:hanging="360"/>
        <w:jc w:val="both"/>
        <w:rPr>
          <w:sz w:val="20"/>
          <w:lang w:eastAsia="lt-LT"/>
        </w:rPr>
      </w:pPr>
      <w:r>
        <w:rPr>
          <w:sz w:val="20"/>
          <w:lang w:eastAsia="lt-LT"/>
        </w:rPr>
        <w:t>1.4.</w:t>
      </w:r>
      <w:r>
        <w:rPr>
          <w:sz w:val="20"/>
          <w:lang w:eastAsia="lt-LT"/>
        </w:rPr>
        <w:tab/>
        <w:t>Susitarimo bendroji ir specialioji dalys kartu su visais jų priedais, taip pat Susitarimo bendrosios dalies 1.2 p. nurodyti dokumentai sudaro vientisą ir </w:t>
      </w:r>
      <w:proofErr w:type="spellStart"/>
      <w:r>
        <w:rPr>
          <w:sz w:val="20"/>
          <w:lang w:eastAsia="lt-LT"/>
        </w:rPr>
        <w:t>nedalomą</w:t>
      </w:r>
      <w:proofErr w:type="spellEnd"/>
      <w:r>
        <w:rPr>
          <w:sz w:val="20"/>
          <w:lang w:eastAsia="lt-LT"/>
        </w:rPr>
        <w:t xml:space="preserve"> visumą.</w:t>
      </w:r>
    </w:p>
    <w:p w14:paraId="6211740F" w14:textId="6FF32A3B" w:rsidR="00B77CD4" w:rsidRDefault="00D211FC">
      <w:pPr>
        <w:ind w:left="720" w:hanging="360"/>
        <w:jc w:val="both"/>
        <w:rPr>
          <w:sz w:val="20"/>
          <w:lang w:eastAsia="lt-LT"/>
        </w:rPr>
      </w:pPr>
      <w:r>
        <w:rPr>
          <w:sz w:val="20"/>
          <w:lang w:eastAsia="lt-LT"/>
        </w:rPr>
        <w:t>1.5.</w:t>
      </w:r>
      <w:r>
        <w:rPr>
          <w:sz w:val="20"/>
          <w:lang w:eastAsia="lt-LT"/>
        </w:rPr>
        <w:tab/>
        <w:t>Mokėjimai pagal Susitarimą atliekami eurais.</w:t>
      </w:r>
    </w:p>
    <w:p w14:paraId="5CB28A49" w14:textId="351489B1" w:rsidR="00B77CD4" w:rsidRDefault="00D211FC">
      <w:pPr>
        <w:ind w:left="720" w:hanging="360"/>
        <w:jc w:val="both"/>
        <w:rPr>
          <w:sz w:val="20"/>
          <w:lang w:eastAsia="lt-LT"/>
        </w:rPr>
      </w:pPr>
      <w:r>
        <w:rPr>
          <w:sz w:val="20"/>
          <w:lang w:eastAsia="lt-LT"/>
        </w:rPr>
        <w:t>1.6.</w:t>
      </w:r>
      <w:r>
        <w:rPr>
          <w:sz w:val="20"/>
          <w:lang w:eastAsia="lt-LT"/>
        </w:rPr>
        <w:tab/>
        <w:t>Susitarime naudojamos sąvokos suprantamos taip, kaip jos apibrėžtos Apraše, nebent Susitarime nurodyta kitaip.</w:t>
      </w:r>
    </w:p>
    <w:p w14:paraId="318F57DE" w14:textId="77777777" w:rsidR="00B77CD4" w:rsidRDefault="00B77CD4">
      <w:pPr>
        <w:rPr>
          <w:sz w:val="20"/>
          <w:lang w:eastAsia="lt-LT"/>
        </w:rPr>
      </w:pPr>
    </w:p>
    <w:p w14:paraId="7BDF13CC" w14:textId="18C412DE" w:rsidR="00B77CD4" w:rsidRDefault="00D211FC">
      <w:pPr>
        <w:ind w:left="720" w:hanging="360"/>
        <w:rPr>
          <w:sz w:val="20"/>
          <w:lang w:eastAsia="lt-LT"/>
        </w:rPr>
      </w:pPr>
      <w:r>
        <w:rPr>
          <w:b/>
          <w:sz w:val="20"/>
          <w:lang w:eastAsia="lt-LT"/>
        </w:rPr>
        <w:t>2.</w:t>
      </w:r>
      <w:r>
        <w:rPr>
          <w:b/>
          <w:sz w:val="20"/>
          <w:lang w:eastAsia="lt-LT"/>
        </w:rPr>
        <w:tab/>
        <w:t>Susitarimo dalykas</w:t>
      </w:r>
    </w:p>
    <w:p w14:paraId="1211F3EE" w14:textId="7602F174" w:rsidR="00B77CD4" w:rsidRDefault="00D211FC">
      <w:pPr>
        <w:ind w:left="720" w:hanging="360"/>
        <w:jc w:val="both"/>
        <w:rPr>
          <w:sz w:val="20"/>
          <w:lang w:eastAsia="en-GB"/>
        </w:rPr>
      </w:pPr>
      <w:r>
        <w:rPr>
          <w:sz w:val="20"/>
          <w:lang w:eastAsia="en-GB"/>
        </w:rPr>
        <w:t>2.1.</w:t>
      </w:r>
      <w:r>
        <w:rPr>
          <w:sz w:val="20"/>
          <w:lang w:eastAsia="en-GB"/>
        </w:rPr>
        <w:tab/>
        <w:t>Atsižvelgiant į tai, kad:</w:t>
      </w:r>
    </w:p>
    <w:p w14:paraId="02D509DC" w14:textId="238B7958" w:rsidR="00B77CD4" w:rsidRDefault="00D211FC">
      <w:pPr>
        <w:ind w:left="1080" w:hanging="720"/>
        <w:jc w:val="both"/>
        <w:rPr>
          <w:sz w:val="20"/>
          <w:lang w:eastAsia="en-GB"/>
        </w:rPr>
      </w:pPr>
      <w:r>
        <w:rPr>
          <w:sz w:val="20"/>
          <w:lang w:eastAsia="en-GB"/>
        </w:rPr>
        <w:t>2.1.1.</w:t>
      </w:r>
      <w:r>
        <w:rPr>
          <w:sz w:val="20"/>
          <w:lang w:eastAsia="en-GB"/>
        </w:rPr>
        <w:tab/>
        <w:t>Projekto vykdytojas, įgyvendindamas Finansavimo sutartį, joje numatyto leidinio (toliau – leidinys) vertimui pasitelkė Vertėją,</w:t>
      </w:r>
    </w:p>
    <w:p w14:paraId="3D2C8159" w14:textId="2B3D3500" w:rsidR="00B77CD4" w:rsidRDefault="00D211FC">
      <w:pPr>
        <w:ind w:left="1080" w:hanging="720"/>
        <w:jc w:val="both"/>
        <w:rPr>
          <w:sz w:val="20"/>
          <w:lang w:eastAsia="en-GB"/>
        </w:rPr>
      </w:pPr>
      <w:r>
        <w:rPr>
          <w:sz w:val="20"/>
          <w:lang w:eastAsia="en-GB"/>
        </w:rPr>
        <w:t>2.1.2.</w:t>
      </w:r>
      <w:r>
        <w:rPr>
          <w:sz w:val="20"/>
          <w:lang w:eastAsia="en-GB"/>
        </w:rPr>
        <w:tab/>
        <w:t>Institutas įsipareigojo Finansavimo sutartyje nustatyta tvarka skirti dalinį finansavimą Projekto vykdytojui leidinio vertimo išlaidoms padengti,</w:t>
      </w:r>
    </w:p>
    <w:p w14:paraId="2CD052DA" w14:textId="1560D1C5" w:rsidR="00B77CD4" w:rsidRDefault="00D211FC">
      <w:pPr>
        <w:ind w:left="1080" w:hanging="720"/>
        <w:jc w:val="both"/>
        <w:rPr>
          <w:sz w:val="20"/>
          <w:lang w:eastAsia="en-GB"/>
        </w:rPr>
      </w:pPr>
      <w:r>
        <w:rPr>
          <w:sz w:val="20"/>
          <w:lang w:eastAsia="en-GB"/>
        </w:rPr>
        <w:t>2.1.3.</w:t>
      </w:r>
      <w:r>
        <w:rPr>
          <w:sz w:val="20"/>
          <w:lang w:eastAsia="en-GB"/>
        </w:rPr>
        <w:tab/>
        <w:t>Projekto vykdytojo pateikta Projekto ataskaita yra tinkama, t. y. Projekto vykdytojas Finansavimo sutartyje nustatyta tvarka atsiskaitė už projekto ar jo etapo įgyvendinimą,</w:t>
      </w:r>
    </w:p>
    <w:p w14:paraId="7ED52CE7" w14:textId="390BCABA" w:rsidR="00B77CD4" w:rsidRDefault="00D211FC">
      <w:pPr>
        <w:ind w:left="1080" w:hanging="720"/>
        <w:jc w:val="both"/>
        <w:rPr>
          <w:sz w:val="20"/>
          <w:lang w:eastAsia="en-GB"/>
        </w:rPr>
      </w:pPr>
      <w:r>
        <w:rPr>
          <w:sz w:val="20"/>
          <w:lang w:eastAsia="en-GB"/>
        </w:rPr>
        <w:t>2.1.4.</w:t>
      </w:r>
      <w:r>
        <w:rPr>
          <w:sz w:val="20"/>
          <w:lang w:eastAsia="en-GB"/>
        </w:rPr>
        <w:tab/>
        <w:t>Projekto vykdytojas išreiškė prašymą raštu dėl tiesioginio lėšų pervedimo Vertėjui,</w:t>
      </w:r>
    </w:p>
    <w:p w14:paraId="76571A60" w14:textId="21C1413C" w:rsidR="00B77CD4" w:rsidRDefault="00D211FC">
      <w:pPr>
        <w:ind w:left="720"/>
        <w:jc w:val="both"/>
        <w:rPr>
          <w:sz w:val="20"/>
          <w:lang w:eastAsia="en-GB"/>
        </w:rPr>
      </w:pPr>
      <w:r>
        <w:rPr>
          <w:sz w:val="20"/>
          <w:lang w:eastAsia="en-GB"/>
        </w:rPr>
        <w:t>Institutas įsipareigoja Susitarimo specialiosios dalies 2.1 p. nurodytą lėšų sumą pervesti tiesiogiai Vertėjui Susitarime nustatyta tvarka.</w:t>
      </w:r>
    </w:p>
    <w:p w14:paraId="0C3C3509" w14:textId="1C5A2F0A" w:rsidR="00B77CD4" w:rsidRDefault="00D211FC">
      <w:pPr>
        <w:ind w:left="720" w:hanging="360"/>
        <w:jc w:val="both"/>
        <w:rPr>
          <w:sz w:val="20"/>
          <w:lang w:eastAsia="lt-LT"/>
        </w:rPr>
      </w:pPr>
      <w:r>
        <w:rPr>
          <w:sz w:val="20"/>
          <w:lang w:eastAsia="lt-LT"/>
        </w:rPr>
        <w:t>2.2.</w:t>
      </w:r>
      <w:r>
        <w:rPr>
          <w:sz w:val="20"/>
          <w:lang w:eastAsia="lt-LT"/>
        </w:rPr>
        <w:tab/>
      </w:r>
      <w:r>
        <w:rPr>
          <w:sz w:val="20"/>
          <w:lang w:eastAsia="en-GB"/>
        </w:rPr>
        <w:t>Įgyvendinus šį Susitarimą, Institutas bus laikomas tinkamai įvykdžiusiu Finansavimo sutartyje nustatytus įsipareigojimus, susijusius su Finansavimo sutartyje numatytų lėšų, skirtų leidinio vertimo išlaidoms padengti, pervedimu Projekto vykdytojui.</w:t>
      </w:r>
    </w:p>
    <w:p w14:paraId="54992294" w14:textId="1249E6E0" w:rsidR="00B77CD4" w:rsidRDefault="00D211FC">
      <w:pPr>
        <w:ind w:left="720" w:hanging="360"/>
        <w:jc w:val="both"/>
        <w:rPr>
          <w:sz w:val="20"/>
          <w:lang w:eastAsia="lt-LT"/>
        </w:rPr>
      </w:pPr>
      <w:r>
        <w:rPr>
          <w:sz w:val="20"/>
          <w:lang w:eastAsia="lt-LT"/>
        </w:rPr>
        <w:t>2.3.</w:t>
      </w:r>
      <w:r>
        <w:rPr>
          <w:sz w:val="20"/>
          <w:lang w:eastAsia="lt-LT"/>
        </w:rPr>
        <w:tab/>
      </w:r>
      <w:r>
        <w:rPr>
          <w:sz w:val="20"/>
          <w:lang w:eastAsia="en-GB"/>
        </w:rPr>
        <w:t xml:space="preserve">Šis Susitarimas negali būti aiškinamas plačiau nei Šalių susitarimas dėl Finansavimo sutarties pagrindu Projekto vykdytojui skirtos sumos (ar jos dalies) tiesioginio </w:t>
      </w:r>
      <w:r>
        <w:rPr>
          <w:sz w:val="20"/>
          <w:lang w:eastAsia="en-GB"/>
        </w:rPr>
        <w:t>pervedimo Vertėjui, t. y. Susitarimas nepakeičia jokių kitų Finansavimo sutarties nuostatų (įskaitant, bet neapsiribojant, Projekto vykdytojo įsipareigojimų, susijusių su Finansavimo sutartyje numatytos finansavimo sumos grąžinimu Institutui Finansavimo sutartyje nustatytais atvejais).</w:t>
      </w:r>
    </w:p>
    <w:p w14:paraId="44FB53AB" w14:textId="0EBD578E" w:rsidR="00B77CD4" w:rsidRDefault="00D211FC">
      <w:pPr>
        <w:ind w:left="720" w:hanging="360"/>
        <w:jc w:val="both"/>
        <w:rPr>
          <w:sz w:val="20"/>
          <w:lang w:eastAsia="lt-LT"/>
        </w:rPr>
      </w:pPr>
      <w:r>
        <w:rPr>
          <w:sz w:val="20"/>
          <w:lang w:eastAsia="lt-LT"/>
        </w:rPr>
        <w:t>2.4.</w:t>
      </w:r>
      <w:r>
        <w:rPr>
          <w:sz w:val="20"/>
          <w:lang w:eastAsia="lt-LT"/>
        </w:rPr>
        <w:tab/>
      </w:r>
      <w:r>
        <w:rPr>
          <w:sz w:val="20"/>
          <w:lang w:eastAsia="en-GB"/>
        </w:rPr>
        <w:t>Institutas Vertėjo atžvilgiu neturi jokių kitų įsipareigojimų nei numatyta Susitarime.</w:t>
      </w:r>
    </w:p>
    <w:p w14:paraId="2E013573" w14:textId="77777777" w:rsidR="00B77CD4" w:rsidRDefault="00B77CD4">
      <w:pPr>
        <w:ind w:left="720"/>
        <w:jc w:val="both"/>
        <w:rPr>
          <w:sz w:val="20"/>
          <w:lang w:eastAsia="lt-LT"/>
        </w:rPr>
      </w:pPr>
    </w:p>
    <w:p w14:paraId="792CD764" w14:textId="0E805BC5" w:rsidR="00B77CD4" w:rsidRDefault="00D211FC">
      <w:pPr>
        <w:ind w:left="720" w:hanging="360"/>
        <w:jc w:val="both"/>
        <w:rPr>
          <w:b/>
          <w:bCs/>
          <w:sz w:val="20"/>
          <w:lang w:eastAsia="lt-LT"/>
        </w:rPr>
      </w:pPr>
      <w:r>
        <w:rPr>
          <w:b/>
          <w:sz w:val="20"/>
          <w:lang w:eastAsia="lt-LT"/>
        </w:rPr>
        <w:t>3.</w:t>
      </w:r>
      <w:r>
        <w:rPr>
          <w:b/>
          <w:sz w:val="20"/>
          <w:lang w:eastAsia="lt-LT"/>
        </w:rPr>
        <w:tab/>
      </w:r>
      <w:r>
        <w:rPr>
          <w:b/>
          <w:bCs/>
          <w:sz w:val="20"/>
          <w:lang w:eastAsia="lt-LT"/>
        </w:rPr>
        <w:t>Lėšų pervedimo Vertėjui tvarka</w:t>
      </w:r>
    </w:p>
    <w:p w14:paraId="7F75C93A" w14:textId="2606CF49" w:rsidR="00B77CD4" w:rsidRDefault="00D211FC">
      <w:pPr>
        <w:ind w:left="720" w:hanging="360"/>
        <w:jc w:val="both"/>
        <w:rPr>
          <w:sz w:val="20"/>
          <w:lang w:eastAsia="lt-LT"/>
        </w:rPr>
      </w:pPr>
      <w:r>
        <w:rPr>
          <w:sz w:val="20"/>
          <w:lang w:eastAsia="lt-LT"/>
        </w:rPr>
        <w:t>3.1.</w:t>
      </w:r>
      <w:r>
        <w:rPr>
          <w:sz w:val="20"/>
          <w:lang w:eastAsia="lt-LT"/>
        </w:rPr>
        <w:tab/>
        <w:t xml:space="preserve">Institutas </w:t>
      </w:r>
      <w:r>
        <w:rPr>
          <w:sz w:val="20"/>
          <w:lang w:eastAsia="en-GB"/>
        </w:rPr>
        <w:t>Susitarimo specialiosios dalies 2.1 p. nurodytą lėšų sumą Vertėjui perveda į Susitarimo specialiosios dalies 2.2 p. nurodytą banko sąskaitą ne vėliau kaip per 10 darbo dienų nuo Susitarimo sudarymo dienos. Susitarimas laikomas sudarytu, kai jį pasirašo visos Šalys.</w:t>
      </w:r>
    </w:p>
    <w:p w14:paraId="6EFBCF32" w14:textId="224247C9" w:rsidR="00B77CD4" w:rsidRDefault="00D211FC">
      <w:pPr>
        <w:ind w:left="720" w:hanging="360"/>
        <w:jc w:val="both"/>
        <w:rPr>
          <w:sz w:val="20"/>
          <w:lang w:eastAsia="lt-LT"/>
        </w:rPr>
      </w:pPr>
      <w:r>
        <w:rPr>
          <w:sz w:val="20"/>
          <w:lang w:eastAsia="lt-LT"/>
        </w:rPr>
        <w:t>3.2.</w:t>
      </w:r>
      <w:r>
        <w:rPr>
          <w:sz w:val="20"/>
          <w:lang w:eastAsia="lt-LT"/>
        </w:rPr>
        <w:tab/>
        <w:t>Vertėjas įsipareigoja Susitarimo specialiosios dalies 2.2 p. nurodyti banko sąskaitą, kurios valiuta – eurai. Tais atvejais, kai Institutui Susitarime nustatyta tvarka atliekant mokėjimą yra taikomi banko mokesčiai už lėšų pervedimą, šiuos banko mokesčius moka ir mokėtojas, ir gavėjas.</w:t>
      </w:r>
    </w:p>
    <w:p w14:paraId="66E673F4" w14:textId="7A5809A5" w:rsidR="00B77CD4" w:rsidRDefault="00D211FC">
      <w:pPr>
        <w:ind w:left="720" w:hanging="360"/>
        <w:jc w:val="both"/>
        <w:rPr>
          <w:sz w:val="20"/>
          <w:lang w:eastAsia="lt-LT"/>
        </w:rPr>
      </w:pPr>
      <w:r>
        <w:rPr>
          <w:sz w:val="20"/>
          <w:lang w:eastAsia="lt-LT"/>
        </w:rPr>
        <w:t>3.3.</w:t>
      </w:r>
      <w:r>
        <w:rPr>
          <w:sz w:val="20"/>
          <w:lang w:eastAsia="lt-LT"/>
        </w:rPr>
        <w:tab/>
        <w:t>Projekto vykdytojo prašymu, Institutas įsipareigoja jam pateikti lėšų pervedimo Vertėjui faktą patvirtinantį dokumentą (banko sąskaitos išrašą ar pan.).</w:t>
      </w:r>
      <w:r>
        <w:rPr>
          <w:sz w:val="20"/>
          <w:lang w:eastAsia="en-GB"/>
        </w:rPr>
        <w:t xml:space="preserve"> </w:t>
      </w:r>
    </w:p>
    <w:p w14:paraId="6D699366" w14:textId="77777777" w:rsidR="00B77CD4" w:rsidRDefault="00B77CD4">
      <w:pPr>
        <w:rPr>
          <w:sz w:val="20"/>
        </w:rPr>
      </w:pPr>
    </w:p>
    <w:p w14:paraId="0648ABB1" w14:textId="280D6780" w:rsidR="00B77CD4" w:rsidRDefault="00D211FC">
      <w:pPr>
        <w:ind w:left="720" w:hanging="360"/>
        <w:jc w:val="both"/>
        <w:rPr>
          <w:b/>
          <w:bCs/>
          <w:sz w:val="20"/>
          <w:lang w:eastAsia="lt-LT"/>
        </w:rPr>
      </w:pPr>
      <w:r>
        <w:rPr>
          <w:b/>
          <w:sz w:val="20"/>
          <w:lang w:eastAsia="lt-LT"/>
        </w:rPr>
        <w:t>4.</w:t>
      </w:r>
      <w:r>
        <w:rPr>
          <w:b/>
          <w:sz w:val="20"/>
          <w:lang w:eastAsia="lt-LT"/>
        </w:rPr>
        <w:tab/>
      </w:r>
      <w:r>
        <w:rPr>
          <w:b/>
          <w:bCs/>
          <w:sz w:val="20"/>
          <w:lang w:eastAsia="lt-LT"/>
        </w:rPr>
        <w:t>Susitarimo galiojimas, keitimas ir nutraukimas</w:t>
      </w:r>
    </w:p>
    <w:p w14:paraId="2CEF4DB0" w14:textId="65CB1DFA" w:rsidR="00B77CD4" w:rsidRDefault="00D211FC">
      <w:pPr>
        <w:ind w:left="720" w:hanging="360"/>
        <w:jc w:val="both"/>
        <w:rPr>
          <w:sz w:val="20"/>
          <w:lang w:eastAsia="lt-LT"/>
        </w:rPr>
      </w:pPr>
      <w:r>
        <w:rPr>
          <w:sz w:val="20"/>
          <w:lang w:eastAsia="lt-LT"/>
        </w:rPr>
        <w:t>4.1.</w:t>
      </w:r>
      <w:r>
        <w:rPr>
          <w:sz w:val="20"/>
          <w:lang w:eastAsia="lt-LT"/>
        </w:rPr>
        <w:tab/>
        <w:t>Susitarimas įsigalioja jį pasirašius visoms Šalims ir galioja iki Šalys visiškai įvykdys savo įsipareigojimus, prisiimtus pagal Susitarimą. Susitarimas sudaromas lietuvių ir anglų kalbomis.</w:t>
      </w:r>
    </w:p>
    <w:p w14:paraId="73842F1A" w14:textId="3F175827" w:rsidR="00B77CD4" w:rsidRDefault="00D211FC">
      <w:pPr>
        <w:ind w:left="720" w:hanging="360"/>
        <w:jc w:val="both"/>
        <w:rPr>
          <w:sz w:val="20"/>
          <w:lang w:eastAsia="lt-LT"/>
        </w:rPr>
      </w:pPr>
      <w:r>
        <w:rPr>
          <w:sz w:val="20"/>
          <w:lang w:eastAsia="lt-LT"/>
        </w:rPr>
        <w:t>4.2.</w:t>
      </w:r>
      <w:r>
        <w:rPr>
          <w:sz w:val="20"/>
          <w:lang w:eastAsia="lt-LT"/>
        </w:rPr>
        <w:tab/>
      </w:r>
      <w:r>
        <w:rPr>
          <w:sz w:val="20"/>
        </w:rPr>
        <w:t xml:space="preserve">Susitarimas gali būti sudaromas pasirašant popierinį susitarimą, kvalifikuotu elektroniniu parašu arba elektroniniu būdu, nenaudojant kvalifikuoto elektroninio parašo, t. y. elektroniniu paštu apsikeičiant skenuotomis pasirašyto Susitarimo kopijomis ar Susitarimo pasirašymui naudojant pasirašančiojo asmens parašo vaizdą. Popierinis susitarimas sudaromas trimis egzemplioriais, po vieną kiekvienai Šaliai, elektroninis susitarimas – vienu egzemplioriumi. </w:t>
      </w:r>
    </w:p>
    <w:p w14:paraId="310FF44E" w14:textId="479A6163" w:rsidR="00B77CD4" w:rsidRDefault="00D211FC">
      <w:pPr>
        <w:ind w:left="720" w:hanging="360"/>
        <w:jc w:val="both"/>
        <w:rPr>
          <w:sz w:val="20"/>
          <w:lang w:eastAsia="lt-LT"/>
        </w:rPr>
      </w:pPr>
      <w:r>
        <w:rPr>
          <w:sz w:val="20"/>
          <w:lang w:eastAsia="lt-LT"/>
        </w:rPr>
        <w:t>4.3.</w:t>
      </w:r>
      <w:r>
        <w:rPr>
          <w:sz w:val="20"/>
          <w:lang w:eastAsia="lt-LT"/>
        </w:rPr>
        <w:tab/>
        <w:t>Susitarimo pakeitimai galioja tik dėl jų raštu susitarus visoms Šalims.</w:t>
      </w:r>
    </w:p>
    <w:p w14:paraId="248DC1FC" w14:textId="6C8F9019" w:rsidR="00B77CD4" w:rsidRDefault="00D211FC">
      <w:pPr>
        <w:ind w:left="720" w:hanging="360"/>
        <w:jc w:val="both"/>
        <w:rPr>
          <w:sz w:val="20"/>
          <w:lang w:eastAsia="lt-LT"/>
        </w:rPr>
      </w:pPr>
      <w:r>
        <w:rPr>
          <w:sz w:val="20"/>
          <w:lang w:eastAsia="lt-LT"/>
        </w:rPr>
        <w:t>4.4.</w:t>
      </w:r>
      <w:r>
        <w:rPr>
          <w:sz w:val="20"/>
          <w:lang w:eastAsia="lt-LT"/>
        </w:rPr>
        <w:tab/>
        <w:t>Susitarimas gali būti nutrauktas Šalių rašytiniu susitarimu.</w:t>
      </w:r>
    </w:p>
    <w:p w14:paraId="3AA0544C" w14:textId="7049402D" w:rsidR="00B77CD4" w:rsidRDefault="00D211FC">
      <w:pPr>
        <w:ind w:left="720" w:hanging="360"/>
        <w:jc w:val="both"/>
        <w:rPr>
          <w:sz w:val="20"/>
          <w:lang w:eastAsia="lt-LT"/>
        </w:rPr>
      </w:pPr>
      <w:r>
        <w:rPr>
          <w:sz w:val="20"/>
          <w:lang w:eastAsia="lt-LT"/>
        </w:rPr>
        <w:t>4.5.</w:t>
      </w:r>
      <w:r>
        <w:rPr>
          <w:sz w:val="20"/>
          <w:lang w:eastAsia="lt-LT"/>
        </w:rPr>
        <w:tab/>
      </w:r>
      <w:r>
        <w:rPr>
          <w:sz w:val="20"/>
        </w:rPr>
        <w:t xml:space="preserve">Susitarimo pasibaigimas neturi įtakos tų </w:t>
      </w:r>
      <w:r>
        <w:rPr>
          <w:sz w:val="20"/>
        </w:rPr>
        <w:t>Susitarimo sąlygų galiojimui, kurios pagal savo esmę lieka galioti ir po Susitarimo pasibaigimo</w:t>
      </w:r>
      <w:r>
        <w:rPr>
          <w:sz w:val="20"/>
          <w:lang w:eastAsia="lt-LT"/>
        </w:rPr>
        <w:t>.</w:t>
      </w:r>
    </w:p>
    <w:p w14:paraId="33CEAFD7" w14:textId="786AEBA3" w:rsidR="00B77CD4" w:rsidRDefault="00D211FC">
      <w:pPr>
        <w:ind w:left="720" w:hanging="360"/>
        <w:jc w:val="both"/>
        <w:rPr>
          <w:b/>
          <w:bCs/>
          <w:sz w:val="20"/>
          <w:lang w:eastAsia="lt-LT"/>
        </w:rPr>
      </w:pPr>
      <w:r>
        <w:rPr>
          <w:sz w:val="20"/>
          <w:lang w:eastAsia="lt-LT"/>
        </w:rPr>
        <w:t>4.6.</w:t>
      </w:r>
      <w:r>
        <w:rPr>
          <w:sz w:val="20"/>
          <w:lang w:eastAsia="lt-LT"/>
        </w:rPr>
        <w:tab/>
      </w:r>
      <w:r>
        <w:rPr>
          <w:sz w:val="20"/>
        </w:rPr>
        <w:t>Šalys susitaria, kad vienos ar kelių Susitarimo sąlygų negaliojimas nedaro negaliojančio viso Susitarimo, išskyrus atvejus, kuriais Šalys be tos sąlygos nebūtų sudariusios Susitarimo ir tokios sąlygos nėra galima pakeisti nauja sąlyga.</w:t>
      </w:r>
    </w:p>
    <w:p w14:paraId="1B3CA8D8" w14:textId="77777777" w:rsidR="00B77CD4" w:rsidRDefault="00B77CD4">
      <w:pPr>
        <w:ind w:left="720"/>
        <w:jc w:val="both"/>
        <w:rPr>
          <w:b/>
          <w:bCs/>
          <w:sz w:val="20"/>
          <w:lang w:eastAsia="lt-LT"/>
        </w:rPr>
      </w:pPr>
    </w:p>
    <w:p w14:paraId="012622DD" w14:textId="6DF6D7AE" w:rsidR="00B77CD4" w:rsidRDefault="00D211FC">
      <w:pPr>
        <w:ind w:left="720" w:hanging="360"/>
        <w:rPr>
          <w:b/>
          <w:bCs/>
          <w:sz w:val="20"/>
          <w:lang w:eastAsia="lt-LT"/>
        </w:rPr>
      </w:pPr>
      <w:r>
        <w:rPr>
          <w:b/>
          <w:sz w:val="20"/>
          <w:lang w:eastAsia="lt-LT"/>
        </w:rPr>
        <w:lastRenderedPageBreak/>
        <w:t>5.</w:t>
      </w:r>
      <w:r>
        <w:rPr>
          <w:b/>
          <w:sz w:val="20"/>
          <w:lang w:eastAsia="lt-LT"/>
        </w:rPr>
        <w:tab/>
      </w:r>
      <w:r>
        <w:rPr>
          <w:b/>
          <w:bCs/>
          <w:sz w:val="20"/>
          <w:lang w:eastAsia="lt-LT"/>
        </w:rPr>
        <w:t>Baigiamosios nuostatos</w:t>
      </w:r>
    </w:p>
    <w:p w14:paraId="2F143B33" w14:textId="48FDE59E" w:rsidR="00B77CD4" w:rsidRDefault="00D211FC">
      <w:pPr>
        <w:ind w:left="720" w:hanging="360"/>
        <w:jc w:val="both"/>
        <w:rPr>
          <w:sz w:val="20"/>
          <w:lang w:eastAsia="lt-LT"/>
        </w:rPr>
      </w:pPr>
      <w:r>
        <w:rPr>
          <w:sz w:val="20"/>
          <w:lang w:eastAsia="lt-LT"/>
        </w:rPr>
        <w:t>5.1.</w:t>
      </w:r>
      <w:r>
        <w:rPr>
          <w:sz w:val="20"/>
          <w:lang w:eastAsia="lt-LT"/>
        </w:rPr>
        <w:tab/>
      </w:r>
      <w:r>
        <w:rPr>
          <w:sz w:val="20"/>
        </w:rPr>
        <w:t>Susitarimui, iš jo kylantiems ar su juo susijusiems teisiniams santykiams yra taikoma ir Susitarimas yra aiškinamas vadovaujantis Lietuvos Respublikos teise.</w:t>
      </w:r>
    </w:p>
    <w:p w14:paraId="362FCEDF" w14:textId="47692658" w:rsidR="00B77CD4" w:rsidRDefault="00D211FC">
      <w:pPr>
        <w:ind w:left="720" w:hanging="360"/>
        <w:jc w:val="both"/>
        <w:rPr>
          <w:sz w:val="20"/>
          <w:lang w:eastAsia="lt-LT"/>
        </w:rPr>
      </w:pPr>
      <w:r>
        <w:rPr>
          <w:sz w:val="20"/>
          <w:lang w:eastAsia="lt-LT"/>
        </w:rPr>
        <w:t>5.2.</w:t>
      </w:r>
      <w:r>
        <w:rPr>
          <w:sz w:val="20"/>
          <w:lang w:eastAsia="lt-LT"/>
        </w:rPr>
        <w:tab/>
        <w:t>Šalys susitaria ginčus spręsti derybomis. Jei Šalys negali išspręsti ginčo, nesutarimo ar reikalavimo, kylančio iš Susitarimo ar su juo susijusio, jis yra perduodamas spręsti teisės aktuose nustatyta tvarka Lietuvos Respublikos teismui.</w:t>
      </w:r>
    </w:p>
    <w:p w14:paraId="632020F5" w14:textId="3FA21EB3" w:rsidR="00B77CD4" w:rsidRDefault="00D211FC">
      <w:pPr>
        <w:widowControl w:val="0"/>
        <w:tabs>
          <w:tab w:val="left" w:pos="1040"/>
          <w:tab w:val="left" w:pos="1134"/>
        </w:tabs>
        <w:ind w:left="720" w:hanging="360"/>
        <w:jc w:val="both"/>
        <w:rPr>
          <w:sz w:val="20"/>
        </w:rPr>
      </w:pPr>
      <w:r>
        <w:rPr>
          <w:sz w:val="20"/>
        </w:rPr>
        <w:t>5.3.</w:t>
      </w:r>
      <w:r>
        <w:rPr>
          <w:sz w:val="20"/>
        </w:rPr>
        <w:tab/>
        <w:t>Šalių pagal Susitarimą viena kitai siunčiami pranešimai ir kita korespondencija bus teikiami raštu ir bus laikomi tinkamai įteiktais, kai jie išsiunčiami Susitarime nurodytais elektroninio pašto adresais, įteikiami asmeniškai arba išsiunčiami registruotu laišku arba kurjeriu, arba pristatomi Susitarime nurodytais Šalių adresais. Kai Šalis atsisako priimti pranešimą, pranešimas laikomas įteiktu tinkamai.</w:t>
      </w:r>
    </w:p>
    <w:p w14:paraId="629D345D" w14:textId="60127868" w:rsidR="00B77CD4" w:rsidRDefault="00D211FC">
      <w:pPr>
        <w:ind w:left="720" w:hanging="360"/>
        <w:jc w:val="both"/>
        <w:rPr>
          <w:sz w:val="20"/>
          <w:lang w:eastAsia="lt-LT"/>
        </w:rPr>
      </w:pPr>
      <w:r>
        <w:rPr>
          <w:sz w:val="20"/>
          <w:lang w:eastAsia="lt-LT"/>
        </w:rPr>
        <w:t>5.4.</w:t>
      </w:r>
      <w:r>
        <w:rPr>
          <w:sz w:val="20"/>
          <w:lang w:eastAsia="lt-LT"/>
        </w:rPr>
        <w:tab/>
      </w:r>
      <w:r>
        <w:rPr>
          <w:sz w:val="20"/>
        </w:rPr>
        <w:t>Kiekviena Šalis privalo pranešti kitai Šaliai apie Susitarime nurodytų adresų, telefono numerių, elektroninio pašto adresų pasikeitimą nedelsiant, bet ne vėliau kaip per 1 (vieną) darbo dieną nuo pasikeitimo dienos. Jei Šalis nepraneša apie šį pasikeitimą, tai pranešimo siuntimas paskutiniu žinomu adresu ar elektroniniu paštu yra laikomas tinkamu.</w:t>
      </w:r>
    </w:p>
    <w:p w14:paraId="43EEBA10" w14:textId="12709E0C" w:rsidR="00B77CD4" w:rsidRDefault="00D211FC">
      <w:pPr>
        <w:widowControl w:val="0"/>
        <w:tabs>
          <w:tab w:val="left" w:pos="1134"/>
        </w:tabs>
        <w:ind w:left="720" w:hanging="360"/>
        <w:jc w:val="both"/>
        <w:rPr>
          <w:sz w:val="20"/>
        </w:rPr>
      </w:pPr>
      <w:r>
        <w:rPr>
          <w:sz w:val="20"/>
        </w:rPr>
        <w:t>5.5.</w:t>
      </w:r>
      <w:r>
        <w:rPr>
          <w:sz w:val="20"/>
        </w:rPr>
        <w:tab/>
        <w:t xml:space="preserve">Šalys neatsako už Susitarimo nuostatų pažeidimą, jei toks pažeidimas yra sukeltas nenugalimos jėgos </w:t>
      </w:r>
      <w:r>
        <w:rPr>
          <w:sz w:val="20"/>
          <w:lang w:bidi="en-US"/>
        </w:rPr>
        <w:t>(</w:t>
      </w:r>
      <w:r>
        <w:rPr>
          <w:i/>
          <w:iCs/>
          <w:sz w:val="20"/>
          <w:lang w:bidi="en-US"/>
        </w:rPr>
        <w:t xml:space="preserve">force </w:t>
      </w:r>
      <w:r>
        <w:rPr>
          <w:i/>
          <w:iCs/>
          <w:sz w:val="20"/>
        </w:rPr>
        <w:t>majeure)</w:t>
      </w:r>
      <w:r>
        <w:rPr>
          <w:sz w:val="20"/>
        </w:rPr>
        <w:t xml:space="preserve"> aplinkybių. Prievolių pagal Susitarimą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 Iškilus nenugalimos jėgos aplinkybėms, šių aplinkybių poveikį patyrusi Šalis privalo nedelsdama p</w:t>
      </w:r>
      <w:r>
        <w:rPr>
          <w:sz w:val="20"/>
        </w:rPr>
        <w:t>ranešti kitai Šaliai apie nenugalimos jėgos aplinkybes.</w:t>
      </w:r>
    </w:p>
    <w:p w14:paraId="3864CF54" w14:textId="252B8A98" w:rsidR="00B77CD4" w:rsidRDefault="00D211FC">
      <w:pPr>
        <w:widowControl w:val="0"/>
        <w:tabs>
          <w:tab w:val="left" w:pos="1134"/>
        </w:tabs>
        <w:ind w:left="720" w:hanging="360"/>
        <w:jc w:val="both"/>
        <w:rPr>
          <w:sz w:val="20"/>
        </w:rPr>
      </w:pPr>
      <w:r>
        <w:rPr>
          <w:sz w:val="20"/>
        </w:rPr>
        <w:t>5.6.</w:t>
      </w:r>
      <w:r>
        <w:rPr>
          <w:sz w:val="20"/>
        </w:rPr>
        <w:tab/>
        <w:t>Institutas neatsako už Susitarimo nuostatų pažeidimą ir tuo atveju, jeigu jis atsirado dėl Projekto vykdytojo Susitarime neteisingai nurodytų duomenų (rekvizitų ir kt.) arba dėl valstybės valdymo institucijose teisės aktų nustatyta tvarka vykstančių procesų, kurių Institutas nekontroliuoja.</w:t>
      </w:r>
    </w:p>
    <w:p w14:paraId="0E72A95A" w14:textId="38836E4E" w:rsidR="00B77CD4" w:rsidRDefault="00D211FC">
      <w:pPr>
        <w:ind w:left="720" w:hanging="360"/>
        <w:jc w:val="both"/>
        <w:rPr>
          <w:sz w:val="20"/>
          <w:lang w:eastAsia="lt-LT"/>
        </w:rPr>
      </w:pPr>
      <w:r>
        <w:rPr>
          <w:sz w:val="20"/>
          <w:lang w:eastAsia="lt-LT"/>
        </w:rPr>
        <w:t>5.7.</w:t>
      </w:r>
      <w:r>
        <w:rPr>
          <w:sz w:val="20"/>
          <w:lang w:eastAsia="lt-LT"/>
        </w:rPr>
        <w:tab/>
        <w:t xml:space="preserve">Susitarime </w:t>
      </w:r>
      <w:r>
        <w:rPr>
          <w:rFonts w:eastAsia="Arial"/>
          <w:sz w:val="20"/>
          <w:shd w:val="clear" w:color="auto" w:fill="FFFFFF"/>
          <w:lang w:eastAsia="lt-LT"/>
        </w:rPr>
        <w:t>nurodomi asmens duomenys yra tvarkomi Instituto, kaip duomenų valdytojo, projektų administravimo, taip pat dokumentų valdymo tikslu. Asmens duomenys tvarkomi siekiant viešojo intereso ir vykdant Instituto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w:t>
      </w:r>
      <w:r>
        <w:rPr>
          <w:rFonts w:eastAsia="Arial"/>
          <w:sz w:val="20"/>
          <w:shd w:val="clear" w:color="auto" w:fill="FFFFFF"/>
          <w:lang w:eastAsia="lt-LT"/>
        </w:rPr>
        <w:t xml:space="preserve">o) 6 str. 1 d. c ir e punktais. </w:t>
      </w:r>
    </w:p>
    <w:p w14:paraId="12BDF185" w14:textId="77777777" w:rsidR="00B77CD4" w:rsidRDefault="00B77CD4">
      <w:pPr>
        <w:rPr>
          <w:b/>
          <w:bCs/>
          <w:sz w:val="20"/>
          <w:lang w:eastAsia="lt-LT"/>
        </w:rPr>
      </w:pPr>
    </w:p>
    <w:p w14:paraId="1BE7475F" w14:textId="258CC9E4" w:rsidR="00B77CD4" w:rsidRDefault="00D211FC">
      <w:pPr>
        <w:ind w:left="720" w:hanging="360"/>
        <w:rPr>
          <w:b/>
          <w:bCs/>
          <w:sz w:val="20"/>
          <w:lang w:eastAsia="lt-LT"/>
        </w:rPr>
      </w:pPr>
      <w:r>
        <w:rPr>
          <w:b/>
          <w:sz w:val="20"/>
          <w:lang w:eastAsia="lt-LT"/>
        </w:rPr>
        <w:t>6.</w:t>
      </w:r>
      <w:r>
        <w:rPr>
          <w:b/>
          <w:sz w:val="20"/>
          <w:lang w:eastAsia="lt-LT"/>
        </w:rPr>
        <w:tab/>
      </w:r>
      <w:r>
        <w:rPr>
          <w:b/>
          <w:bCs/>
          <w:sz w:val="20"/>
          <w:lang w:eastAsia="lt-LT"/>
        </w:rPr>
        <w:t>Susitarimo pasirašymo sąlygos</w:t>
      </w:r>
    </w:p>
    <w:p w14:paraId="164FC205" w14:textId="13F40C12" w:rsidR="00B77CD4" w:rsidRDefault="00D211FC">
      <w:pPr>
        <w:tabs>
          <w:tab w:val="left" w:pos="851"/>
        </w:tabs>
        <w:ind w:left="720" w:hanging="360"/>
        <w:jc w:val="both"/>
        <w:rPr>
          <w:sz w:val="20"/>
          <w:lang w:eastAsia="lt-LT"/>
        </w:rPr>
      </w:pPr>
      <w:r>
        <w:rPr>
          <w:sz w:val="20"/>
          <w:lang w:eastAsia="lt-LT"/>
        </w:rPr>
        <w:t>6.1.</w:t>
      </w:r>
      <w:r>
        <w:rPr>
          <w:sz w:val="20"/>
          <w:lang w:eastAsia="lt-LT"/>
        </w:rPr>
        <w:tab/>
        <w:t>Projekto vykdytojas Institutui patvirtina, kad neturi Vertėjui jokių pretenzijų dėl jo atlikto vertimo ir nėra jokių kitų kliūčių dėl Susitarimo 2.1 p. nurodytų lėšų pervedimo Vertėjui.</w:t>
      </w:r>
    </w:p>
    <w:p w14:paraId="12A9C901" w14:textId="7F6FBE7E" w:rsidR="00B77CD4" w:rsidRDefault="00D211FC">
      <w:pPr>
        <w:tabs>
          <w:tab w:val="left" w:pos="851"/>
        </w:tabs>
        <w:ind w:left="720" w:hanging="360"/>
        <w:jc w:val="both"/>
        <w:rPr>
          <w:sz w:val="20"/>
          <w:lang w:eastAsia="lt-LT"/>
        </w:rPr>
      </w:pPr>
      <w:r>
        <w:rPr>
          <w:sz w:val="20"/>
          <w:lang w:eastAsia="lt-LT"/>
        </w:rPr>
        <w:t>6.2.</w:t>
      </w:r>
      <w:r>
        <w:rPr>
          <w:sz w:val="20"/>
          <w:lang w:eastAsia="lt-LT"/>
        </w:rPr>
        <w:tab/>
        <w:t>Šalys patvirtina viena kitai, kad Susitarime nurodė teisingus duomenis (kontaktinius duomenis ir kitus rekvizitus).</w:t>
      </w:r>
    </w:p>
    <w:p w14:paraId="1690D567" w14:textId="070E4D2C" w:rsidR="00B77CD4" w:rsidRDefault="00D211FC">
      <w:pPr>
        <w:tabs>
          <w:tab w:val="left" w:pos="851"/>
        </w:tabs>
        <w:ind w:left="720" w:hanging="360"/>
        <w:jc w:val="both"/>
        <w:rPr>
          <w:sz w:val="20"/>
          <w:lang w:eastAsia="lt-LT"/>
        </w:rPr>
      </w:pPr>
      <w:r>
        <w:rPr>
          <w:sz w:val="20"/>
          <w:lang w:eastAsia="lt-LT"/>
        </w:rPr>
        <w:t>6.3.</w:t>
      </w:r>
      <w:r>
        <w:rPr>
          <w:sz w:val="20"/>
          <w:lang w:eastAsia="lt-LT"/>
        </w:rPr>
        <w:tab/>
      </w:r>
      <w:r>
        <w:rPr>
          <w:sz w:val="20"/>
        </w:rPr>
        <w:t>Šalys patvirtina viena kitai, kad su Susitarimu susipažino, jo turinys joms yra aiškus, suprantamas ir su juo sutinka.</w:t>
      </w:r>
    </w:p>
    <w:p w14:paraId="4D578012" w14:textId="01653255" w:rsidR="00B77CD4" w:rsidRDefault="00D211FC">
      <w:pPr>
        <w:tabs>
          <w:tab w:val="left" w:pos="851"/>
        </w:tabs>
        <w:ind w:left="720" w:hanging="360"/>
        <w:jc w:val="both"/>
        <w:rPr>
          <w:sz w:val="20"/>
        </w:rPr>
      </w:pPr>
      <w:r>
        <w:rPr>
          <w:sz w:val="20"/>
        </w:rPr>
        <w:t>6.4.</w:t>
      </w:r>
      <w:r>
        <w:rPr>
          <w:sz w:val="20"/>
        </w:rPr>
        <w:tab/>
        <w:t>Šalys patvirtina viena kitai, kad jos ir jų tinkamai įgalioti asmenys, pasirašantys Susitarimą, turi teisę sudaryti Susitarimą bei prisiimti Susitarime numatytus įsipareigojimus.</w:t>
      </w:r>
    </w:p>
    <w:p w14:paraId="30D92076" w14:textId="77777777" w:rsidR="00B77CD4" w:rsidRDefault="00B77CD4">
      <w:pPr>
        <w:rPr>
          <w:sz w:val="20"/>
        </w:rPr>
      </w:pPr>
    </w:p>
    <w:p w14:paraId="14BF1441" w14:textId="0D0718A1" w:rsidR="00B77CD4" w:rsidRDefault="00D211FC">
      <w:pPr>
        <w:ind w:left="720" w:hanging="360"/>
        <w:rPr>
          <w:b/>
          <w:bCs/>
          <w:sz w:val="20"/>
          <w:lang w:eastAsia="lt-LT"/>
        </w:rPr>
      </w:pPr>
      <w:r>
        <w:rPr>
          <w:b/>
          <w:sz w:val="20"/>
          <w:lang w:eastAsia="lt-LT"/>
        </w:rPr>
        <w:t>7.</w:t>
      </w:r>
      <w:r>
        <w:rPr>
          <w:b/>
          <w:sz w:val="20"/>
          <w:lang w:eastAsia="lt-LT"/>
        </w:rPr>
        <w:tab/>
      </w:r>
      <w:r>
        <w:rPr>
          <w:b/>
          <w:bCs/>
          <w:sz w:val="20"/>
          <w:lang w:eastAsia="lt-LT"/>
        </w:rPr>
        <w:t>Šalių parašai</w:t>
      </w:r>
    </w:p>
    <w:p w14:paraId="0178BCBC" w14:textId="77777777" w:rsidR="00B77CD4" w:rsidRDefault="00B77CD4">
      <w:pPr>
        <w:jc w:val="both"/>
        <w:rPr>
          <w:sz w:val="20"/>
          <w:lang w:eastAsia="lt-LT"/>
        </w:rPr>
      </w:pPr>
    </w:p>
    <w:tbl>
      <w:tblPr>
        <w:tblW w:w="9356" w:type="dxa"/>
        <w:tblLayout w:type="fixed"/>
        <w:tblCellMar>
          <w:top w:w="28" w:type="dxa"/>
          <w:left w:w="0" w:type="dxa"/>
          <w:bottom w:w="28" w:type="dxa"/>
          <w:right w:w="0" w:type="dxa"/>
        </w:tblCellMar>
        <w:tblLook w:val="01E0" w:firstRow="1" w:lastRow="1" w:firstColumn="1" w:lastColumn="1" w:noHBand="0" w:noVBand="0"/>
      </w:tblPr>
      <w:tblGrid>
        <w:gridCol w:w="2977"/>
        <w:gridCol w:w="2972"/>
        <w:gridCol w:w="3407"/>
      </w:tblGrid>
      <w:tr w:rsidR="00B77CD4" w14:paraId="60EB7342" w14:textId="701BB020">
        <w:trPr>
          <w:cantSplit/>
          <w:trHeight w:val="113"/>
        </w:trPr>
        <w:tc>
          <w:tcPr>
            <w:tcW w:w="2977" w:type="dxa"/>
            <w:hideMark/>
          </w:tcPr>
          <w:p w14:paraId="0FED37D7" w14:textId="77777777" w:rsidR="00B77CD4" w:rsidRDefault="00D211FC">
            <w:pPr>
              <w:jc w:val="both"/>
              <w:rPr>
                <w:b/>
                <w:sz w:val="20"/>
                <w:lang w:eastAsia="lt-LT"/>
              </w:rPr>
            </w:pPr>
            <w:r>
              <w:rPr>
                <w:rFonts w:eastAsia="Arial"/>
                <w:b/>
                <w:sz w:val="20"/>
                <w:lang w:eastAsia="lt-LT"/>
              </w:rPr>
              <w:t>Instituto vardu:</w:t>
            </w:r>
          </w:p>
        </w:tc>
        <w:tc>
          <w:tcPr>
            <w:tcW w:w="2972" w:type="dxa"/>
          </w:tcPr>
          <w:p w14:paraId="1A83E7C9" w14:textId="77777777" w:rsidR="00B77CD4" w:rsidRDefault="00D211FC">
            <w:pPr>
              <w:rPr>
                <w:b/>
                <w:sz w:val="20"/>
                <w:lang w:eastAsia="lt-LT"/>
              </w:rPr>
            </w:pPr>
            <w:r>
              <w:rPr>
                <w:b/>
                <w:sz w:val="20"/>
                <w:lang w:eastAsia="lt-LT"/>
              </w:rPr>
              <w:t xml:space="preserve">Projekto vykdytojo vardu: </w:t>
            </w:r>
          </w:p>
          <w:p w14:paraId="515FBD3B" w14:textId="77777777" w:rsidR="00B77CD4" w:rsidRDefault="00B77CD4">
            <w:pPr>
              <w:rPr>
                <w:b/>
                <w:sz w:val="20"/>
                <w:lang w:eastAsia="lt-LT"/>
              </w:rPr>
            </w:pPr>
          </w:p>
        </w:tc>
        <w:tc>
          <w:tcPr>
            <w:tcW w:w="3407" w:type="dxa"/>
          </w:tcPr>
          <w:p w14:paraId="7140AB57" w14:textId="3B9B3487" w:rsidR="00B77CD4" w:rsidRDefault="00D211FC">
            <w:pPr>
              <w:ind w:left="285"/>
              <w:rPr>
                <w:b/>
                <w:sz w:val="20"/>
                <w:lang w:eastAsia="lt-LT"/>
              </w:rPr>
            </w:pPr>
            <w:r>
              <w:rPr>
                <w:b/>
                <w:sz w:val="20"/>
                <w:lang w:eastAsia="lt-LT"/>
              </w:rPr>
              <w:t>Vertėjas:</w:t>
            </w:r>
          </w:p>
        </w:tc>
      </w:tr>
      <w:tr w:rsidR="00B77CD4" w14:paraId="63A684CA" w14:textId="779EE3E4">
        <w:trPr>
          <w:cantSplit/>
          <w:trHeight w:val="113"/>
        </w:trPr>
        <w:tc>
          <w:tcPr>
            <w:tcW w:w="2977" w:type="dxa"/>
            <w:hideMark/>
          </w:tcPr>
          <w:p w14:paraId="43B1A602" w14:textId="4276D100" w:rsidR="00B77CD4" w:rsidRDefault="00B77CD4">
            <w:pPr>
              <w:rPr>
                <w:sz w:val="20"/>
                <w:lang w:eastAsia="lt-LT"/>
              </w:rPr>
            </w:pPr>
          </w:p>
          <w:p w14:paraId="113A7E4F" w14:textId="77777777" w:rsidR="00B77CD4" w:rsidRDefault="00D211FC">
            <w:pPr>
              <w:rPr>
                <w:sz w:val="20"/>
                <w:lang w:eastAsia="lt-LT"/>
              </w:rPr>
            </w:pPr>
            <w:r>
              <w:rPr>
                <w:rFonts w:eastAsia="Arial"/>
                <w:i/>
                <w:sz w:val="20"/>
                <w:lang w:eastAsia="lt-LT"/>
              </w:rPr>
              <w:t>(vardas, pavardė, parašas)</w:t>
            </w:r>
          </w:p>
        </w:tc>
        <w:tc>
          <w:tcPr>
            <w:tcW w:w="2972" w:type="dxa"/>
            <w:hideMark/>
          </w:tcPr>
          <w:p w14:paraId="0C0C5F8A" w14:textId="633CC4BD" w:rsidR="00B77CD4" w:rsidRDefault="00B77CD4">
            <w:pPr>
              <w:rPr>
                <w:sz w:val="20"/>
                <w:lang w:eastAsia="lt-LT"/>
              </w:rPr>
            </w:pPr>
          </w:p>
          <w:p w14:paraId="51B9E582" w14:textId="77777777" w:rsidR="00B77CD4" w:rsidRDefault="00D211FC">
            <w:pPr>
              <w:rPr>
                <w:sz w:val="20"/>
                <w:lang w:eastAsia="lt-LT"/>
              </w:rPr>
            </w:pPr>
            <w:r>
              <w:rPr>
                <w:rFonts w:eastAsia="Arial"/>
                <w:i/>
                <w:sz w:val="20"/>
                <w:lang w:eastAsia="lt-LT"/>
              </w:rPr>
              <w:t>(vardas, pavardė, parašas)</w:t>
            </w:r>
          </w:p>
        </w:tc>
        <w:tc>
          <w:tcPr>
            <w:tcW w:w="3407" w:type="dxa"/>
          </w:tcPr>
          <w:p w14:paraId="5D9310A1" w14:textId="77777777" w:rsidR="00B77CD4" w:rsidRDefault="00B77CD4">
            <w:pPr>
              <w:rPr>
                <w:rFonts w:eastAsia="Arial"/>
                <w:sz w:val="20"/>
                <w:lang w:eastAsia="lt-LT"/>
              </w:rPr>
            </w:pPr>
          </w:p>
          <w:p w14:paraId="259997B1" w14:textId="6DF1C7B4" w:rsidR="00B77CD4" w:rsidRDefault="00D211FC">
            <w:pPr>
              <w:ind w:left="285"/>
              <w:rPr>
                <w:rFonts w:eastAsia="Arial"/>
                <w:sz w:val="20"/>
                <w:lang w:eastAsia="lt-LT"/>
              </w:rPr>
            </w:pPr>
            <w:r>
              <w:rPr>
                <w:rFonts w:eastAsia="Arial"/>
                <w:i/>
                <w:sz w:val="20"/>
                <w:lang w:eastAsia="lt-LT"/>
              </w:rPr>
              <w:t>(vardas, pavardė, parašas)</w:t>
            </w:r>
          </w:p>
        </w:tc>
      </w:tr>
    </w:tbl>
    <w:p w14:paraId="06412E0D" w14:textId="77777777" w:rsidR="00B77CD4" w:rsidRDefault="00B77CD4">
      <w:pPr>
        <w:rPr>
          <w:sz w:val="22"/>
          <w:szCs w:val="22"/>
          <w:lang w:eastAsia="lt-LT"/>
        </w:rPr>
      </w:pPr>
    </w:p>
    <w:p w14:paraId="0D905515" w14:textId="77777777" w:rsidR="00B77CD4" w:rsidRDefault="00B77CD4">
      <w:pPr>
        <w:jc w:val="center"/>
        <w:rPr>
          <w:sz w:val="22"/>
          <w:szCs w:val="22"/>
          <w:lang w:eastAsia="lt-LT"/>
        </w:rPr>
      </w:pPr>
    </w:p>
    <w:p w14:paraId="751CCE7B" w14:textId="77777777" w:rsidR="00B77CD4" w:rsidRDefault="00B77CD4">
      <w:pPr>
        <w:rPr>
          <w:sz w:val="22"/>
          <w:szCs w:val="22"/>
          <w:lang w:eastAsia="lt-LT"/>
        </w:rPr>
      </w:pPr>
    </w:p>
    <w:p w14:paraId="6D2A4C4D" w14:textId="77777777" w:rsidR="00B77CD4" w:rsidRDefault="00D211FC">
      <w:pPr>
        <w:jc w:val="center"/>
        <w:rPr>
          <w:sz w:val="22"/>
          <w:szCs w:val="22"/>
          <w:lang w:eastAsia="lt-LT"/>
        </w:rPr>
      </w:pPr>
      <w:r>
        <w:rPr>
          <w:sz w:val="22"/>
          <w:szCs w:val="22"/>
          <w:lang w:eastAsia="lt-LT"/>
        </w:rPr>
        <w:t>_________________</w:t>
      </w:r>
    </w:p>
    <w:p w14:paraId="6694E548" w14:textId="77777777" w:rsidR="00B77CD4" w:rsidRDefault="00B77CD4">
      <w:pPr>
        <w:ind w:left="720"/>
        <w:jc w:val="both"/>
        <w:rPr>
          <w:sz w:val="20"/>
          <w:lang w:eastAsia="lt-LT"/>
        </w:rPr>
      </w:pPr>
    </w:p>
    <w:sectPr w:rsidR="00B77CD4">
      <w:headerReference w:type="even" r:id="rId7"/>
      <w:headerReference w:type="default" r:id="rId8"/>
      <w:footerReference w:type="even" r:id="rId9"/>
      <w:footerReference w:type="default" r:id="rId10"/>
      <w:headerReference w:type="first" r:id="rId11"/>
      <w:footerReference w:type="first" r:id="rId12"/>
      <w:pgSz w:w="11906" w:h="16838"/>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4A41" w14:textId="77777777" w:rsidR="00B77CD4" w:rsidRDefault="00D211FC">
      <w:pPr>
        <w:rPr>
          <w:rFonts w:ascii="Arial" w:eastAsia="Arial" w:hAnsi="Arial" w:cs="Arial"/>
          <w:sz w:val="22"/>
          <w:szCs w:val="22"/>
          <w:lang w:eastAsia="lt-LT"/>
        </w:rPr>
      </w:pPr>
      <w:r>
        <w:rPr>
          <w:rFonts w:ascii="Arial" w:eastAsia="Arial" w:hAnsi="Arial" w:cs="Arial"/>
          <w:sz w:val="22"/>
          <w:szCs w:val="22"/>
          <w:lang w:eastAsia="lt-LT"/>
        </w:rPr>
        <w:separator/>
      </w:r>
    </w:p>
  </w:endnote>
  <w:endnote w:type="continuationSeparator" w:id="0">
    <w:p w14:paraId="5611DB0C" w14:textId="77777777" w:rsidR="00B77CD4" w:rsidRDefault="00D211FC">
      <w:pPr>
        <w:rPr>
          <w:rFonts w:ascii="Arial" w:eastAsia="Arial" w:hAnsi="Arial" w:cs="Arial"/>
          <w:sz w:val="22"/>
          <w:szCs w:val="22"/>
          <w:lang w:eastAsia="lt-LT"/>
        </w:rPr>
      </w:pPr>
      <w:r>
        <w:rPr>
          <w:rFonts w:ascii="Arial" w:eastAsia="Arial" w:hAnsi="Arial" w:cs="Arial"/>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3F2C" w14:textId="77777777" w:rsidR="00B77CD4" w:rsidRDefault="00B77CD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56BA" w14:textId="77777777" w:rsidR="00B77CD4" w:rsidRDefault="00B77CD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EB3C" w14:textId="77777777" w:rsidR="00B77CD4" w:rsidRDefault="00B77CD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5D28" w14:textId="77777777" w:rsidR="00B77CD4" w:rsidRDefault="00D211FC">
      <w:pPr>
        <w:rPr>
          <w:rFonts w:ascii="Arial" w:eastAsia="Arial" w:hAnsi="Arial" w:cs="Arial"/>
          <w:sz w:val="22"/>
          <w:szCs w:val="22"/>
          <w:lang w:eastAsia="lt-LT"/>
        </w:rPr>
      </w:pPr>
      <w:r>
        <w:rPr>
          <w:rFonts w:ascii="Arial" w:eastAsia="Arial" w:hAnsi="Arial" w:cs="Arial"/>
          <w:sz w:val="22"/>
          <w:szCs w:val="22"/>
          <w:lang w:eastAsia="lt-LT"/>
        </w:rPr>
        <w:separator/>
      </w:r>
    </w:p>
  </w:footnote>
  <w:footnote w:type="continuationSeparator" w:id="0">
    <w:p w14:paraId="683BAB50" w14:textId="77777777" w:rsidR="00B77CD4" w:rsidRDefault="00D211FC">
      <w:pPr>
        <w:rPr>
          <w:rFonts w:ascii="Arial" w:eastAsia="Arial" w:hAnsi="Arial" w:cs="Arial"/>
          <w:sz w:val="22"/>
          <w:szCs w:val="22"/>
          <w:lang w:eastAsia="lt-LT"/>
        </w:rPr>
      </w:pPr>
      <w:r>
        <w:rPr>
          <w:rFonts w:ascii="Arial" w:eastAsia="Arial" w:hAnsi="Arial" w:cs="Arial"/>
          <w:sz w:val="22"/>
          <w:szCs w:val="22"/>
          <w:lang w:eastAsia="lt-LT"/>
        </w:rPr>
        <w:continuationSeparator/>
      </w:r>
    </w:p>
  </w:footnote>
  <w:footnote w:id="1">
    <w:p w14:paraId="08F85ED8" w14:textId="0A728900" w:rsidR="00B77CD4" w:rsidRDefault="00D211FC">
      <w:pPr>
        <w:rPr>
          <w:sz w:val="20"/>
        </w:rPr>
      </w:pPr>
      <w:r>
        <w:rPr>
          <w:sz w:val="20"/>
          <w:vertAlign w:val="superscript"/>
        </w:rPr>
        <w:footnoteRef/>
      </w:r>
      <w:r>
        <w:rPr>
          <w:sz w:val="20"/>
        </w:rPr>
        <w:t xml:space="preserve"> </w:t>
      </w:r>
      <w:r>
        <w:rPr>
          <w:sz w:val="18"/>
          <w:szCs w:val="18"/>
          <w:lang w:eastAsia="lt-LT"/>
        </w:rPr>
        <w:t xml:space="preserve">Privaloma nurodyti banko sąskaitą, kurios valiuta – eurai </w:t>
      </w:r>
      <w:r>
        <w:rPr>
          <w:sz w:val="18"/>
          <w:szCs w:val="18"/>
        </w:rPr>
        <w:t>(Susitarimo bendrosios dalies 3.2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B4B" w14:textId="77777777" w:rsidR="00B77CD4" w:rsidRDefault="00D211FC">
    <w:pPr>
      <w:pBdr>
        <w:top w:val="nil"/>
        <w:left w:val="nil"/>
        <w:bottom w:val="nil"/>
        <w:right w:val="nil"/>
        <w:between w:val="nil"/>
      </w:pBdr>
      <w:jc w:val="center"/>
      <w:rPr>
        <w:rFonts w:ascii="Arial" w:eastAsia="Arial" w:hAnsi="Arial" w:cs="Arial"/>
        <w:color w:val="000000"/>
        <w:sz w:val="22"/>
        <w:szCs w:val="22"/>
        <w:lang w:eastAsia="lt-LT"/>
      </w:rPr>
    </w:pPr>
    <w:r>
      <w:rPr>
        <w:rFonts w:ascii="Arial" w:eastAsia="Arial" w:hAnsi="Arial" w:cs="Arial"/>
        <w:color w:val="000000"/>
        <w:sz w:val="22"/>
        <w:szCs w:val="22"/>
        <w:lang w:eastAsia="lt-LT"/>
      </w:rPr>
      <w:fldChar w:fldCharType="begin"/>
    </w:r>
    <w:r>
      <w:rPr>
        <w:rFonts w:ascii="Arial" w:eastAsia="Arial" w:hAnsi="Arial" w:cs="Arial"/>
        <w:color w:val="000000"/>
        <w:sz w:val="22"/>
        <w:szCs w:val="22"/>
        <w:lang w:eastAsia="lt-LT"/>
      </w:rPr>
      <w:instrText>PAGE</w:instrText>
    </w:r>
    <w:r>
      <w:rPr>
        <w:rFonts w:ascii="Arial" w:eastAsia="Arial" w:hAnsi="Arial" w:cs="Arial"/>
        <w:color w:val="000000"/>
        <w:sz w:val="22"/>
        <w:szCs w:val="22"/>
        <w:lang w:eastAsia="lt-LT"/>
      </w:rPr>
      <w:fldChar w:fldCharType="end"/>
    </w:r>
  </w:p>
  <w:p w14:paraId="02C16976" w14:textId="77777777" w:rsidR="00B77CD4" w:rsidRDefault="00B77CD4">
    <w:pPr>
      <w:pBdr>
        <w:top w:val="nil"/>
        <w:left w:val="nil"/>
        <w:bottom w:val="nil"/>
        <w:right w:val="nil"/>
        <w:between w:val="nil"/>
      </w:pBdr>
      <w:rPr>
        <w:rFonts w:ascii="Arial" w:eastAsia="Arial" w:hAnsi="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3FE" w14:textId="77777777" w:rsidR="00B77CD4" w:rsidRDefault="00B77CD4">
    <w:pPr>
      <w:tabs>
        <w:tab w:val="center" w:pos="4819"/>
        <w:tab w:val="right" w:pos="9638"/>
      </w:tabs>
      <w:jc w:val="center"/>
    </w:pPr>
  </w:p>
  <w:p w14:paraId="42D68F3B" w14:textId="0BAC594C" w:rsidR="00B77CD4" w:rsidRDefault="00D211FC">
    <w:pPr>
      <w:tabs>
        <w:tab w:val="center" w:pos="4819"/>
        <w:tab w:val="right" w:pos="9638"/>
      </w:tabs>
      <w:jc w:val="center"/>
    </w:pPr>
    <w:r>
      <w:fldChar w:fldCharType="begin"/>
    </w:r>
    <w:r>
      <w:instrText xml:space="preserve">PAGE   \* </w:instrText>
    </w:r>
    <w:r>
      <w:instrText>MERGEFORMAT</w:instrText>
    </w:r>
    <w:r>
      <w:fldChar w:fldCharType="separate"/>
    </w:r>
    <w:r>
      <w:t>2</w:t>
    </w:r>
    <w:r>
      <w:fldChar w:fldCharType="end"/>
    </w:r>
  </w:p>
  <w:p w14:paraId="3C419A28" w14:textId="77777777" w:rsidR="00B77CD4" w:rsidRDefault="00B77CD4">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965CA" w14:textId="77777777" w:rsidR="00B77CD4" w:rsidRDefault="00B77CD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333ED5"/>
    <w:rsid w:val="00B77CD4"/>
    <w:rsid w:val="00C42161"/>
    <w:rsid w:val="00D211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D89AF8DA-84FD-4661-A205-A4DC437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FD27-D5BC-4515-9845-1618CDE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8504</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Kriaučiūnaitė</dc:creator>
  <cp:lastModifiedBy>Agnė Silickaitė | LKI</cp:lastModifiedBy>
  <cp:revision>2</cp:revision>
  <cp:lastPrinted>2019-09-09T07:30:00Z</cp:lastPrinted>
  <dcterms:created xsi:type="dcterms:W3CDTF">2025-03-17T14:02:00Z</dcterms:created>
  <dcterms:modified xsi:type="dcterms:W3CDTF">2025-03-17T14:02:00Z</dcterms:modified>
</cp:coreProperties>
</file>